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4B07" w14:textId="4FA7FAE3" w:rsidR="00FE349C" w:rsidRDefault="007745EB" w:rsidP="00C86E4B">
      <w:pPr>
        <w:pStyle w:val="Heading1"/>
      </w:pPr>
      <w:r>
        <w:t>Quaker Life Central Committee (QLCC)</w:t>
      </w:r>
      <w:r w:rsidR="00C86E4B">
        <w:br/>
      </w:r>
      <w:r w:rsidR="004628F7" w:rsidRPr="003267A9">
        <w:t>REPORT and ACCOUNTS CHECKLIST</w:t>
      </w:r>
      <w:r w:rsidR="003B0861">
        <w:t xml:space="preserve"> </w:t>
      </w:r>
      <w:r w:rsidR="00F96E72">
        <w:t xml:space="preserve">for Quaker </w:t>
      </w:r>
      <w:r w:rsidR="00253E3B">
        <w:t xml:space="preserve">charities </w:t>
      </w:r>
      <w:r w:rsidR="00F96E72">
        <w:t xml:space="preserve">in </w:t>
      </w:r>
      <w:r w:rsidR="00DB6613">
        <w:t>SCOTLAND</w:t>
      </w:r>
      <w:r w:rsidR="00C86E4B">
        <w:br/>
        <w:t>R</w:t>
      </w:r>
      <w:r w:rsidR="00F96E72">
        <w:t>eporting period</w:t>
      </w:r>
      <w:r w:rsidR="00272161">
        <w:t xml:space="preserve">, accounts </w:t>
      </w:r>
      <w:r w:rsidR="00AE7337">
        <w:t>from 1 January</w:t>
      </w:r>
      <w:r w:rsidR="00F96E72">
        <w:t xml:space="preserve"> 202</w:t>
      </w:r>
      <w:r w:rsidR="000B6805">
        <w:t>5</w:t>
      </w:r>
    </w:p>
    <w:p w14:paraId="0699CF5F" w14:textId="32A809A8" w:rsidR="00C86E4B" w:rsidRDefault="00F650D3" w:rsidP="00C86E4B">
      <w:pPr>
        <w:pStyle w:val="Heading3"/>
      </w:pPr>
      <w:r>
        <w:t>CHANGE vs 20</w:t>
      </w:r>
      <w:r w:rsidR="00871237">
        <w:t>2</w:t>
      </w:r>
      <w:r w:rsidR="00204B9A">
        <w:t>4</w:t>
      </w:r>
      <w:r w:rsidR="00C90799">
        <w:t xml:space="preserve"> CHECKLIST</w:t>
      </w:r>
      <w:r w:rsidR="00C86E4B">
        <w:t>:</w:t>
      </w:r>
    </w:p>
    <w:p w14:paraId="665259A8" w14:textId="76BF8E21" w:rsidR="00C86E4B" w:rsidRDefault="00BD502E" w:rsidP="00C86E4B">
      <w:pPr>
        <w:pStyle w:val="ListParagraph"/>
        <w:numPr>
          <w:ilvl w:val="0"/>
          <w:numId w:val="5"/>
        </w:numPr>
      </w:pPr>
      <w:r>
        <w:t>S</w:t>
      </w:r>
      <w:r w:rsidR="00A61081">
        <w:t xml:space="preserve">ustainability </w:t>
      </w:r>
      <w:r>
        <w:t xml:space="preserve">reporting using </w:t>
      </w:r>
      <w:r w:rsidR="00A61081">
        <w:t>EcoChurch</w:t>
      </w:r>
      <w:r w:rsidR="00204B9A">
        <w:t xml:space="preserve"> themes continued</w:t>
      </w:r>
      <w:r w:rsidR="00A61081">
        <w:t>.</w:t>
      </w:r>
    </w:p>
    <w:p w14:paraId="481ACBB0" w14:textId="351DE4CD" w:rsidR="006227DF" w:rsidRPr="00C86E4B" w:rsidRDefault="00471104" w:rsidP="00471104">
      <w:pPr>
        <w:pStyle w:val="ListParagraph"/>
        <w:numPr>
          <w:ilvl w:val="0"/>
          <w:numId w:val="5"/>
        </w:numPr>
      </w:pPr>
      <w:r>
        <w:t xml:space="preserve">An update on the new </w:t>
      </w:r>
      <w:r w:rsidRPr="00A11B15">
        <w:rPr>
          <w:b/>
          <w:bCs/>
          <w:highlight w:val="cyan"/>
        </w:rPr>
        <w:t>2026 SORP</w:t>
      </w:r>
      <w:r>
        <w:t xml:space="preserve"> (see note about the charities SORP on page 2)</w:t>
      </w:r>
    </w:p>
    <w:p w14:paraId="58624654" w14:textId="77777777" w:rsidR="00727548" w:rsidRPr="00727548" w:rsidRDefault="00727548" w:rsidP="00075ECA">
      <w:pPr>
        <w:pStyle w:val="Heading1"/>
      </w:pPr>
      <w:r>
        <w:t>INTRODUCTION</w:t>
      </w:r>
    </w:p>
    <w:p w14:paraId="4D30EE17" w14:textId="54FF40A0" w:rsidR="004E6E69" w:rsidRDefault="004E6E69" w:rsidP="008C25CF">
      <w:pPr>
        <w:rPr>
          <w:highlight w:val="yellow"/>
        </w:rPr>
      </w:pPr>
      <w:r w:rsidRPr="00973791">
        <w:t xml:space="preserve">This checklist is meant to help those sending a Trustees’ Report and Accounts to </w:t>
      </w:r>
      <w:r w:rsidR="00D72C74">
        <w:t>Quaker Life</w:t>
      </w:r>
      <w:r w:rsidR="007E36B8">
        <w:t xml:space="preserve">, via </w:t>
      </w:r>
      <w:hyperlink r:id="rId10" w:history="1">
        <w:r w:rsidR="007E36B8" w:rsidRPr="00D271D8">
          <w:rPr>
            <w:rStyle w:val="Hyperlink"/>
          </w:rPr>
          <w:t>supportmeetings@quaker.org.uk</w:t>
        </w:r>
      </w:hyperlink>
      <w:r w:rsidR="007E36B8">
        <w:t xml:space="preserve">, </w:t>
      </w:r>
      <w:r w:rsidRPr="00973791">
        <w:t>and</w:t>
      </w:r>
      <w:r w:rsidR="00CC61BA">
        <w:t xml:space="preserve"> if required</w:t>
      </w:r>
      <w:r w:rsidRPr="00973791">
        <w:t xml:space="preserve"> to </w:t>
      </w:r>
      <w:r w:rsidR="00CC61BA">
        <w:t>the</w:t>
      </w:r>
      <w:r w:rsidRPr="00973791">
        <w:t xml:space="preserve"> Charity </w:t>
      </w:r>
      <w:r w:rsidRPr="00871237">
        <w:t xml:space="preserve">Regulator. </w:t>
      </w:r>
    </w:p>
    <w:p w14:paraId="692ABF92" w14:textId="72CAE5B0" w:rsidR="004E6E69" w:rsidRDefault="004E6E69" w:rsidP="008C25CF">
      <w:r w:rsidRPr="00871237">
        <w:t>I</w:t>
      </w:r>
      <w:r w:rsidR="00F650D3" w:rsidRPr="00871237">
        <w:t>t covers the Office of the Scottish Charity Regulator</w:t>
      </w:r>
      <w:r w:rsidR="002B3125">
        <w:t>’s</w:t>
      </w:r>
      <w:r w:rsidR="00F650D3" w:rsidRPr="00871237">
        <w:t xml:space="preserve"> (OSCR)</w:t>
      </w:r>
      <w:r w:rsidR="0052100B" w:rsidRPr="00871237">
        <w:t xml:space="preserve"> reporting requirements and its April 2019 “</w:t>
      </w:r>
      <w:hyperlink r:id="rId11" w:history="1">
        <w:r w:rsidR="0052100B" w:rsidRPr="002539AA">
          <w:rPr>
            <w:rStyle w:val="Hyperlink"/>
          </w:rPr>
          <w:t xml:space="preserve">A guide to Charity </w:t>
        </w:r>
        <w:r w:rsidR="00AC7605" w:rsidRPr="002539AA">
          <w:rPr>
            <w:rStyle w:val="Hyperlink"/>
          </w:rPr>
          <w:t>Accounts</w:t>
        </w:r>
      </w:hyperlink>
      <w:r w:rsidR="00AC7605" w:rsidRPr="00871237">
        <w:t>”.</w:t>
      </w:r>
    </w:p>
    <w:p w14:paraId="4A0654D8" w14:textId="1B2417B9" w:rsidR="0042610F" w:rsidRPr="0007756E" w:rsidRDefault="0042610F" w:rsidP="0042610F">
      <w:r w:rsidRPr="00E56DB7">
        <w:rPr>
          <w:b/>
          <w:bCs/>
        </w:rPr>
        <w:t>Sustainability Reporting</w:t>
      </w:r>
      <w:r>
        <w:t xml:space="preserve"> to BYM is required and is now being asked for in the BYM Governance Annual Return.</w:t>
      </w:r>
      <w:r w:rsidR="00094509">
        <w:t xml:space="preserve"> BYM will continue to ask AMs to report based on the </w:t>
      </w:r>
      <w:hyperlink r:id="rId12" w:history="1">
        <w:r w:rsidR="00094509" w:rsidRPr="00642EF1">
          <w:rPr>
            <w:rStyle w:val="Hyperlink"/>
          </w:rPr>
          <w:t>themes from EcoChurch</w:t>
        </w:r>
      </w:hyperlink>
      <w:r w:rsidR="00094509">
        <w:t>.</w:t>
      </w:r>
      <w:r w:rsidR="00A61081">
        <w:t xml:space="preserve"> This is a trial </w:t>
      </w:r>
      <w:r w:rsidR="002F26E0">
        <w:t xml:space="preserve">to see if we can gather data that gives a better picture of </w:t>
      </w:r>
      <w:r w:rsidR="006637D0">
        <w:t>how Quaker meetings and BYM is doing as a Church.</w:t>
      </w:r>
    </w:p>
    <w:p w14:paraId="7D4F5560" w14:textId="566AD0A0" w:rsidR="00EF016E" w:rsidRDefault="00F55260" w:rsidP="008C25CF">
      <w:r>
        <w:t xml:space="preserve">The checklist is divided into </w:t>
      </w:r>
      <w:r w:rsidR="00092BB6">
        <w:t>the following sections, and you should select those that apply to your meeting.</w:t>
      </w:r>
      <w:r w:rsidR="003116A4">
        <w:t xml:space="preserve"> There is a separate</w:t>
      </w:r>
      <w:r w:rsidR="00F650D3">
        <w:t xml:space="preserve"> checklist for England &amp; Wales</w:t>
      </w:r>
      <w:r w:rsidR="00AD0BB1">
        <w:t xml:space="preserve"> </w:t>
      </w:r>
      <w:r w:rsidR="00EF016E" w:rsidRPr="00EF016E">
        <w:t xml:space="preserve">which is available on the BYM website, </w:t>
      </w:r>
      <w:hyperlink r:id="rId13" w:history="1">
        <w:r w:rsidR="00EF016E" w:rsidRPr="00B81F97">
          <w:rPr>
            <w:rStyle w:val="Hyperlink"/>
            <w:rFonts w:cs="Arial"/>
            <w:szCs w:val="24"/>
          </w:rPr>
          <w:t>www.quaker.org.uk/trustees</w:t>
        </w:r>
      </w:hyperlink>
      <w:r w:rsidR="00EF016E" w:rsidRPr="00EF016E">
        <w:t>.</w:t>
      </w:r>
      <w:r w:rsidR="00EF016E">
        <w:t xml:space="preserve"> </w:t>
      </w:r>
      <w:r w:rsidR="00EF016E" w:rsidRPr="00EF016E">
        <w:t xml:space="preserve">Or by contacting Quaker Life, </w:t>
      </w:r>
      <w:hyperlink r:id="rId14" w:history="1">
        <w:r w:rsidR="00EF016E" w:rsidRPr="00B81F97">
          <w:rPr>
            <w:rStyle w:val="Hyperlink"/>
            <w:rFonts w:cs="Arial"/>
            <w:szCs w:val="24"/>
          </w:rPr>
          <w:t>supportmeetings@quaker.org.uk</w:t>
        </w:r>
      </w:hyperlink>
      <w:r w:rsidR="00EF016E" w:rsidRPr="00EF016E">
        <w:t>.</w:t>
      </w:r>
      <w:r w:rsidR="00EF016E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832"/>
        <w:gridCol w:w="5157"/>
      </w:tblGrid>
      <w:tr w:rsidR="00471104" w:rsidRPr="009A2914" w14:paraId="30350D33" w14:textId="77777777" w:rsidTr="00471104">
        <w:tc>
          <w:tcPr>
            <w:tcW w:w="332" w:type="pct"/>
          </w:tcPr>
          <w:p w14:paraId="291DE2E3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990" w:type="pct"/>
          </w:tcPr>
          <w:p w14:paraId="7A95EF76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678" w:type="pct"/>
          </w:tcPr>
          <w:p w14:paraId="65106944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Needed by</w:t>
            </w:r>
          </w:p>
        </w:tc>
      </w:tr>
      <w:tr w:rsidR="00471104" w:rsidRPr="009A2914" w14:paraId="3D56D933" w14:textId="77777777" w:rsidTr="00471104">
        <w:tc>
          <w:tcPr>
            <w:tcW w:w="332" w:type="pct"/>
          </w:tcPr>
          <w:p w14:paraId="51566267" w14:textId="41DF7005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</w:tc>
        <w:tc>
          <w:tcPr>
            <w:tcW w:w="1990" w:type="pct"/>
          </w:tcPr>
          <w:p w14:paraId="7A09F9E2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Trustee Report- All</w:t>
            </w:r>
          </w:p>
        </w:tc>
        <w:tc>
          <w:tcPr>
            <w:tcW w:w="2678" w:type="pct"/>
          </w:tcPr>
          <w:p w14:paraId="6BC44597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</w:tr>
      <w:tr w:rsidR="00471104" w:rsidRPr="009A2914" w14:paraId="030CA6D4" w14:textId="77777777" w:rsidTr="00471104">
        <w:tc>
          <w:tcPr>
            <w:tcW w:w="332" w:type="pct"/>
          </w:tcPr>
          <w:p w14:paraId="539A5380" w14:textId="32DA18F8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</w:t>
            </w:r>
          </w:p>
        </w:tc>
        <w:tc>
          <w:tcPr>
            <w:tcW w:w="1990" w:type="pct"/>
          </w:tcPr>
          <w:p w14:paraId="62823D93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Receipts &amp; Payments (R&amp;P) Accounts</w:t>
            </w:r>
          </w:p>
        </w:tc>
        <w:tc>
          <w:tcPr>
            <w:tcW w:w="2678" w:type="pct"/>
          </w:tcPr>
          <w:p w14:paraId="398115B5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Those R&amp;P Accounting</w:t>
            </w:r>
          </w:p>
        </w:tc>
      </w:tr>
      <w:tr w:rsidR="00471104" w:rsidRPr="009A2914" w14:paraId="0B7E7C2A" w14:textId="77777777" w:rsidTr="00471104">
        <w:tc>
          <w:tcPr>
            <w:tcW w:w="332" w:type="pct"/>
          </w:tcPr>
          <w:p w14:paraId="1768CDD6" w14:textId="422CECB6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</w:t>
            </w:r>
          </w:p>
        </w:tc>
        <w:tc>
          <w:tcPr>
            <w:tcW w:w="1990" w:type="pct"/>
          </w:tcPr>
          <w:p w14:paraId="2AAD54C6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Accruals Basis Accounts</w:t>
            </w:r>
          </w:p>
        </w:tc>
        <w:tc>
          <w:tcPr>
            <w:tcW w:w="2678" w:type="pct"/>
          </w:tcPr>
          <w:p w14:paraId="569A0C17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Those Accrual Accounting</w:t>
            </w:r>
          </w:p>
        </w:tc>
      </w:tr>
      <w:tr w:rsidR="00471104" w:rsidRPr="009A2914" w14:paraId="03FCB630" w14:textId="77777777" w:rsidTr="00471104">
        <w:tc>
          <w:tcPr>
            <w:tcW w:w="332" w:type="pct"/>
          </w:tcPr>
          <w:p w14:paraId="0E6E0ABD" w14:textId="20F716A5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</w:p>
        </w:tc>
        <w:tc>
          <w:tcPr>
            <w:tcW w:w="1990" w:type="pct"/>
          </w:tcPr>
          <w:p w14:paraId="2E9E9FF8" w14:textId="77777777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Notes to Accounts</w:t>
            </w:r>
          </w:p>
        </w:tc>
        <w:tc>
          <w:tcPr>
            <w:tcW w:w="2678" w:type="pct"/>
          </w:tcPr>
          <w:p w14:paraId="166BC67C" w14:textId="067F0488" w:rsidR="00471104" w:rsidRPr="009A2914" w:rsidRDefault="00471104" w:rsidP="00D9277D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Meetings, choose R&amp;P or accruals as appropriate</w:t>
            </w:r>
          </w:p>
        </w:tc>
      </w:tr>
    </w:tbl>
    <w:p w14:paraId="5AFF134B" w14:textId="77777777" w:rsidR="00D10E8E" w:rsidRDefault="002B4F73" w:rsidP="002B4F73">
      <w:r>
        <w:t xml:space="preserve">Guidance is </w:t>
      </w:r>
      <w:r w:rsidRPr="00465D5E">
        <w:t xml:space="preserve">available from the </w:t>
      </w:r>
      <w:hyperlink r:id="rId15" w:history="1">
        <w:r w:rsidRPr="00444E6F">
          <w:rPr>
            <w:rStyle w:val="Hyperlink"/>
            <w:rFonts w:cs="Arial"/>
            <w:szCs w:val="24"/>
          </w:rPr>
          <w:t>ACAT Handbook</w:t>
        </w:r>
      </w:hyperlink>
      <w:r w:rsidRPr="00465D5E">
        <w:t xml:space="preserve"> and the </w:t>
      </w:r>
      <w:hyperlink r:id="rId16" w:history="1">
        <w:r w:rsidRPr="00444E6F">
          <w:rPr>
            <w:rStyle w:val="Hyperlink"/>
            <w:rFonts w:cs="Arial"/>
            <w:szCs w:val="24"/>
          </w:rPr>
          <w:t>Trustees Handbook</w:t>
        </w:r>
      </w:hyperlink>
      <w:r>
        <w:t>.</w:t>
      </w:r>
    </w:p>
    <w:p w14:paraId="78B50A92" w14:textId="77777777" w:rsidR="00D10E8E" w:rsidRDefault="00D10E8E">
      <w:pPr>
        <w:spacing w:before="0" w:after="0" w:line="240" w:lineRule="auto"/>
      </w:pPr>
      <w:r>
        <w:br w:type="page"/>
      </w:r>
    </w:p>
    <w:p w14:paraId="49425BEE" w14:textId="77777777" w:rsidR="005953E8" w:rsidRPr="00153481" w:rsidRDefault="005953E8" w:rsidP="00D10E8E">
      <w:pPr>
        <w:pStyle w:val="Heading3"/>
      </w:pPr>
      <w:r>
        <w:lastRenderedPageBreak/>
        <w:t>Notes and links to k</w:t>
      </w:r>
      <w:r w:rsidRPr="00153481">
        <w:t>ey documents:</w:t>
      </w:r>
    </w:p>
    <w:p w14:paraId="7E3710E7" w14:textId="57A2FAA3" w:rsidR="009D204E" w:rsidRPr="005442C8" w:rsidRDefault="009D204E" w:rsidP="00075ECA">
      <w:pPr>
        <w:pStyle w:val="ListParagraph"/>
        <w:numPr>
          <w:ilvl w:val="0"/>
          <w:numId w:val="4"/>
        </w:numPr>
      </w:pPr>
      <w:r w:rsidRPr="00075ECA">
        <w:rPr>
          <w:b/>
          <w:bCs/>
        </w:rPr>
        <w:t>Note 1:</w:t>
      </w:r>
      <w:r w:rsidRPr="009D204E">
        <w:t xml:space="preserve"> References are to the Statement of Recommended Practice (SORP) for the Financial Reporting Standard 102 second edition:</w:t>
      </w:r>
      <w:r>
        <w:t xml:space="preserve"> </w:t>
      </w:r>
      <w:hyperlink r:id="rId17" w:history="1">
        <w:r w:rsidR="00302775" w:rsidRPr="005442C8">
          <w:rPr>
            <w:rStyle w:val="Hyperlink"/>
            <w:rFonts w:cs="Arial"/>
            <w:szCs w:val="24"/>
          </w:rPr>
          <w:t>www.charitysorp.org/download-a-full-sorp/</w:t>
        </w:r>
      </w:hyperlink>
    </w:p>
    <w:p w14:paraId="219075D7" w14:textId="276702DD" w:rsidR="009D204E" w:rsidRPr="009D204E" w:rsidRDefault="009D204E" w:rsidP="00075ECA">
      <w:pPr>
        <w:pStyle w:val="ListParagraph"/>
        <w:numPr>
          <w:ilvl w:val="0"/>
          <w:numId w:val="4"/>
        </w:numPr>
      </w:pPr>
      <w:r w:rsidRPr="00075ECA">
        <w:rPr>
          <w:b/>
          <w:bCs/>
        </w:rPr>
        <w:t>Note 2:</w:t>
      </w:r>
      <w:r w:rsidRPr="009D204E">
        <w:t xml:space="preserve"> References are to OSCR legal requirements for TAR: </w:t>
      </w:r>
      <w:hyperlink r:id="rId18" w:history="1">
        <w:r w:rsidR="00302775" w:rsidRPr="00302775">
          <w:rPr>
            <w:rStyle w:val="Hyperlink"/>
            <w:rFonts w:cs="Arial"/>
            <w:szCs w:val="24"/>
          </w:rPr>
          <w:t>www.oscr.org.uk/guidance-and-forms/trustees-annual-reports-guidance-and-good-practice/what-a-trustees-annual-report-needs-to-include/</w:t>
        </w:r>
      </w:hyperlink>
      <w:r w:rsidRPr="009D204E">
        <w:t xml:space="preserve"> This gives separate listing for R&amp;P accounts (R&amp;P list) and Accruals accounts (Acc list)</w:t>
      </w:r>
    </w:p>
    <w:p w14:paraId="740340B1" w14:textId="7920C928" w:rsidR="009D204E" w:rsidRPr="005442C8" w:rsidRDefault="009D204E" w:rsidP="00075ECA">
      <w:pPr>
        <w:pStyle w:val="ListParagraph"/>
        <w:numPr>
          <w:ilvl w:val="0"/>
          <w:numId w:val="4"/>
        </w:numPr>
      </w:pPr>
      <w:r w:rsidRPr="00075ECA">
        <w:rPr>
          <w:b/>
          <w:bCs/>
        </w:rPr>
        <w:t>Note 3:</w:t>
      </w:r>
      <w:r w:rsidRPr="009D204E">
        <w:t xml:space="preserve"> OSCR publish</w:t>
      </w:r>
      <w:r w:rsidR="007F2668">
        <w:t>es</w:t>
      </w:r>
      <w:r w:rsidRPr="009D204E">
        <w:t xml:space="preserve"> a template and excel workbook for receipts and payment accounts</w:t>
      </w:r>
      <w:r w:rsidR="00302775">
        <w:t xml:space="preserve">: </w:t>
      </w:r>
      <w:hyperlink r:id="rId19" w:history="1">
        <w:r w:rsidR="00302775" w:rsidRPr="005442C8">
          <w:rPr>
            <w:rStyle w:val="Hyperlink"/>
            <w:rFonts w:cs="Arial"/>
            <w:szCs w:val="24"/>
          </w:rPr>
          <w:t>www.oscr.org.uk/managing-a-charity/charity-accounting/receipts-and-payments-accounts-work-pack/</w:t>
        </w:r>
      </w:hyperlink>
    </w:p>
    <w:p w14:paraId="3BD5B2DF" w14:textId="5AE35766" w:rsidR="009D204E" w:rsidRPr="0042610F" w:rsidRDefault="009D204E" w:rsidP="00075ECA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 w:rsidRPr="00075ECA">
        <w:rPr>
          <w:b/>
          <w:bCs/>
        </w:rPr>
        <w:t>Note 4:</w:t>
      </w:r>
      <w:r w:rsidRPr="009D204E">
        <w:t xml:space="preserve"> Accruals accounts examiners report. An example is given in </w:t>
      </w:r>
      <w:hyperlink r:id="rId20" w:history="1">
        <w:r w:rsidR="00AC238F" w:rsidRPr="00AC238F">
          <w:rPr>
            <w:rStyle w:val="Hyperlink"/>
            <w:rFonts w:cs="Arial"/>
            <w:szCs w:val="24"/>
          </w:rPr>
          <w:t>www.oscr.org.uk/guidance-and-forms/independent-examination-a-guide-for-independent-examiners/section-9-example-independent-examiner-s-reports/</w:t>
        </w:r>
      </w:hyperlink>
    </w:p>
    <w:p w14:paraId="3DDF7102" w14:textId="2A058509" w:rsidR="0042610F" w:rsidRDefault="00D5096A" w:rsidP="00D5096A">
      <w:pPr>
        <w:pStyle w:val="ListParagraph"/>
        <w:numPr>
          <w:ilvl w:val="0"/>
          <w:numId w:val="4"/>
        </w:numPr>
        <w:spacing w:after="0"/>
      </w:pPr>
      <w:r>
        <w:rPr>
          <w:rFonts w:cs="Arial"/>
          <w:b/>
          <w:szCs w:val="24"/>
        </w:rPr>
        <w:t xml:space="preserve">BYM Governance Annual Return: </w:t>
      </w:r>
      <w:hyperlink r:id="rId21" w:history="1">
        <w:r w:rsidRPr="00AD2F02">
          <w:rPr>
            <w:rStyle w:val="Hyperlink"/>
          </w:rPr>
          <w:t>https://forms.quaker.org.uk/am-governance-annual-return/</w:t>
        </w:r>
      </w:hyperlink>
    </w:p>
    <w:p w14:paraId="4736E8D8" w14:textId="77777777" w:rsidR="0084515B" w:rsidRDefault="0084515B" w:rsidP="0084515B">
      <w:pPr>
        <w:pStyle w:val="Heading3"/>
      </w:pPr>
      <w:r>
        <w:t>Note about the Charities SORP</w:t>
      </w:r>
    </w:p>
    <w:p w14:paraId="208F80AF" w14:textId="77777777" w:rsidR="0084515B" w:rsidRDefault="0084515B" w:rsidP="0084515B">
      <w:pPr>
        <w:spacing w:after="0"/>
      </w:pPr>
      <w:r>
        <w:t xml:space="preserve">A new version of the SORP is now available to download from the Charity SORP website. </w:t>
      </w:r>
    </w:p>
    <w:p w14:paraId="3C4887BA" w14:textId="77777777" w:rsidR="0084515B" w:rsidRDefault="0084515B" w:rsidP="0084515B">
      <w:pPr>
        <w:pStyle w:val="ListParagraph"/>
        <w:numPr>
          <w:ilvl w:val="0"/>
          <w:numId w:val="7"/>
        </w:numPr>
        <w:spacing w:after="0"/>
      </w:pPr>
      <w:hyperlink r:id="rId22" w:history="1">
        <w:r w:rsidRPr="000C5BF6">
          <w:rPr>
            <w:rStyle w:val="Hyperlink"/>
          </w:rPr>
          <w:t>www.charitysorp.org/documents/d/guest/charities-sorp-2026-1</w:t>
        </w:r>
      </w:hyperlink>
    </w:p>
    <w:p w14:paraId="44ABDCA7" w14:textId="77777777" w:rsidR="00AD7805" w:rsidRPr="00AD7805" w:rsidRDefault="00AD7805" w:rsidP="00AD7805">
      <w:pPr>
        <w:spacing w:after="0"/>
        <w:rPr>
          <w:b/>
          <w:bCs/>
        </w:rPr>
      </w:pPr>
      <w:r w:rsidRPr="00AD7805">
        <w:rPr>
          <w:b/>
          <w:bCs/>
          <w:highlight w:val="cyan"/>
        </w:rPr>
        <w:t>DO NOT USE SORP 2026 UNTIL REPORTING IN 2027</w:t>
      </w:r>
    </w:p>
    <w:p w14:paraId="3122419F" w14:textId="0F3E9219" w:rsidR="0084515B" w:rsidRPr="009D204E" w:rsidRDefault="0084515B" w:rsidP="0084515B">
      <w:pPr>
        <w:spacing w:after="0"/>
      </w:pPr>
      <w:r>
        <w:t>This new version of the SORP will be used f</w:t>
      </w:r>
      <w:r w:rsidRPr="004F7DEF">
        <w:t>or reporting periods starting on or after 1 January 2026</w:t>
      </w:r>
      <w:r>
        <w:t>. That means that it will not be used by Quaker charities until reporting in 2027. These checklists will be updated in early 2027 with reference to the 2026 SORP.</w:t>
      </w:r>
    </w:p>
    <w:p w14:paraId="32B0E737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5F2D0C95" w14:textId="19FA2A80" w:rsidR="00F3685B" w:rsidRPr="004F4DE9" w:rsidRDefault="006E1873" w:rsidP="00075ECA">
      <w:pPr>
        <w:pStyle w:val="Heading2"/>
      </w:pPr>
      <w:r>
        <w:lastRenderedPageBreak/>
        <w:t>A</w:t>
      </w:r>
      <w:r w:rsidR="00F650D3">
        <w:t>: TRUSTEE REPORT</w:t>
      </w:r>
      <w:r w:rsidR="003B7B71">
        <w:t xml:space="preserve"> (</w:t>
      </w:r>
      <w:r w:rsidR="00923BBB">
        <w:t xml:space="preserve">see </w:t>
      </w:r>
      <w:r w:rsidR="003B7B71">
        <w:t>Note 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5711"/>
        <w:gridCol w:w="836"/>
        <w:gridCol w:w="908"/>
      </w:tblGrid>
      <w:tr w:rsidR="00F650D3" w:rsidRPr="00683DEF" w14:paraId="5B6F0040" w14:textId="77777777" w:rsidTr="00F76C45">
        <w:tc>
          <w:tcPr>
            <w:tcW w:w="0" w:type="auto"/>
            <w:gridSpan w:val="2"/>
          </w:tcPr>
          <w:p w14:paraId="5E48A0AB" w14:textId="50A37F1F" w:rsidR="00F209E1" w:rsidRDefault="003B7B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 = Must include</w:t>
            </w:r>
          </w:p>
        </w:tc>
        <w:tc>
          <w:tcPr>
            <w:tcW w:w="0" w:type="auto"/>
          </w:tcPr>
          <w:p w14:paraId="5B7F1C61" w14:textId="77777777" w:rsidR="0052100B" w:rsidRDefault="003B7B71" w:rsidP="0052100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Acc</w:t>
            </w:r>
          </w:p>
          <w:p w14:paraId="3670AD20" w14:textId="1BAE7015" w:rsidR="003B7B71" w:rsidRDefault="003B7B71" w:rsidP="0052100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list</w:t>
            </w:r>
          </w:p>
          <w:p w14:paraId="2348B995" w14:textId="17A2CC2A" w:rsidR="003B7B71" w:rsidRPr="009C07DE" w:rsidRDefault="003B7B71" w:rsidP="0052100B">
            <w:pPr>
              <w:spacing w:after="0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0" w:type="auto"/>
          </w:tcPr>
          <w:p w14:paraId="181C9AE3" w14:textId="77777777" w:rsidR="00F650D3" w:rsidRDefault="00F650D3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R&amp;P</w:t>
            </w:r>
          </w:p>
          <w:p w14:paraId="1C6EA2FA" w14:textId="0E0E85BC" w:rsidR="00F650D3" w:rsidRPr="00DC3998" w:rsidRDefault="003B7B71" w:rsidP="00F3685B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list</w:t>
            </w:r>
          </w:p>
        </w:tc>
      </w:tr>
      <w:tr w:rsidR="00F650D3" w:rsidRPr="00683DEF" w14:paraId="7C60A26A" w14:textId="77777777" w:rsidTr="00F76C45">
        <w:tc>
          <w:tcPr>
            <w:tcW w:w="0" w:type="auto"/>
            <w:gridSpan w:val="2"/>
          </w:tcPr>
          <w:p w14:paraId="4C697044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 xml:space="preserve">Name and number of </w:t>
            </w:r>
            <w:proofErr w:type="gramStart"/>
            <w:r w:rsidRPr="00A2340C">
              <w:rPr>
                <w:rFonts w:cs="Arial"/>
                <w:szCs w:val="24"/>
              </w:rPr>
              <w:t>charity</w:t>
            </w:r>
            <w:proofErr w:type="gramEnd"/>
          </w:p>
        </w:tc>
        <w:tc>
          <w:tcPr>
            <w:tcW w:w="0" w:type="auto"/>
          </w:tcPr>
          <w:p w14:paraId="0404B274" w14:textId="34B6C4A0" w:rsidR="00F650D3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5A43F6D1" w14:textId="0ACBE569" w:rsidR="00F650D3" w:rsidRDefault="003B7B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5DD7BBE1" w14:textId="77777777" w:rsidTr="00F76C45">
        <w:tc>
          <w:tcPr>
            <w:tcW w:w="0" w:type="auto"/>
            <w:gridSpan w:val="2"/>
          </w:tcPr>
          <w:p w14:paraId="2243AB54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>Address of principal office</w:t>
            </w:r>
          </w:p>
        </w:tc>
        <w:tc>
          <w:tcPr>
            <w:tcW w:w="0" w:type="auto"/>
          </w:tcPr>
          <w:p w14:paraId="191081DF" w14:textId="1DC7CF41" w:rsidR="00F650D3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00DD600" w14:textId="4B2CB646" w:rsidR="00F650D3" w:rsidRDefault="003B7B71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64BB210B" w14:textId="77777777" w:rsidTr="00F76C45">
        <w:tc>
          <w:tcPr>
            <w:tcW w:w="0" w:type="auto"/>
            <w:gridSpan w:val="2"/>
          </w:tcPr>
          <w:p w14:paraId="384F8693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>Name of custodian, or nominee trustees</w:t>
            </w:r>
          </w:p>
        </w:tc>
        <w:tc>
          <w:tcPr>
            <w:tcW w:w="0" w:type="auto"/>
          </w:tcPr>
          <w:p w14:paraId="5DEA7517" w14:textId="34FE6BC9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E036EB5" w14:textId="2C2F7316" w:rsidR="00F650D3" w:rsidRDefault="00F650D3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F650D3" w:rsidRPr="00683DEF" w14:paraId="62846DFE" w14:textId="77777777" w:rsidTr="00F76C45">
        <w:tc>
          <w:tcPr>
            <w:tcW w:w="0" w:type="auto"/>
            <w:gridSpan w:val="2"/>
          </w:tcPr>
          <w:p w14:paraId="79EF969B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>Dated and signed by a trustee</w:t>
            </w:r>
          </w:p>
        </w:tc>
        <w:tc>
          <w:tcPr>
            <w:tcW w:w="0" w:type="auto"/>
          </w:tcPr>
          <w:p w14:paraId="7771C2EC" w14:textId="1566C5A9" w:rsidR="00F650D3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2C556159" w14:textId="6CEE032F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4E6E422C" w14:textId="77777777" w:rsidTr="00F76C45">
        <w:tc>
          <w:tcPr>
            <w:tcW w:w="0" w:type="auto"/>
            <w:gridSpan w:val="2"/>
          </w:tcPr>
          <w:p w14:paraId="0D7CA13D" w14:textId="77777777" w:rsidR="00F650D3" w:rsidRPr="00A2340C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A2340C">
              <w:rPr>
                <w:rFonts w:cs="Arial"/>
                <w:szCs w:val="24"/>
              </w:rPr>
              <w:t>Reporting period specified</w:t>
            </w:r>
          </w:p>
        </w:tc>
        <w:tc>
          <w:tcPr>
            <w:tcW w:w="0" w:type="auto"/>
          </w:tcPr>
          <w:p w14:paraId="01424D39" w14:textId="22B99E17" w:rsidR="00F650D3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AC764AD" w14:textId="01FD062F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1CD62828" w14:textId="77777777" w:rsidTr="00F76C45">
        <w:tc>
          <w:tcPr>
            <w:tcW w:w="0" w:type="auto"/>
            <w:gridSpan w:val="2"/>
          </w:tcPr>
          <w:p w14:paraId="76ED7F9A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Names of trustees who served during the year and at report date</w:t>
            </w:r>
          </w:p>
        </w:tc>
        <w:tc>
          <w:tcPr>
            <w:tcW w:w="0" w:type="auto"/>
          </w:tcPr>
          <w:p w14:paraId="10452D2F" w14:textId="1F79D863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4EAEA3FE" w14:textId="3B568B26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442C7A0F" w14:textId="77777777" w:rsidTr="00F76C45">
        <w:tc>
          <w:tcPr>
            <w:tcW w:w="0" w:type="auto"/>
            <w:gridSpan w:val="2"/>
          </w:tcPr>
          <w:p w14:paraId="5ECF5B0C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Structure and governance of the Area Meeting including nature of governing document, how constituted, how new trustees appointed</w:t>
            </w:r>
          </w:p>
        </w:tc>
        <w:tc>
          <w:tcPr>
            <w:tcW w:w="0" w:type="auto"/>
          </w:tcPr>
          <w:p w14:paraId="53E4D75D" w14:textId="206F03B1" w:rsidR="0052100B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2BA71710" w14:textId="0224F42B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1784E918" w14:textId="77777777" w:rsidTr="00F76C45">
        <w:tc>
          <w:tcPr>
            <w:tcW w:w="0" w:type="auto"/>
            <w:gridSpan w:val="2"/>
          </w:tcPr>
          <w:p w14:paraId="79536298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Summary of purposes per governing document, and main activities in relation to these</w:t>
            </w:r>
          </w:p>
        </w:tc>
        <w:tc>
          <w:tcPr>
            <w:tcW w:w="0" w:type="auto"/>
          </w:tcPr>
          <w:p w14:paraId="0EFA568F" w14:textId="5DED59D7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480F8C44" w14:textId="5EB7D469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650D3" w:rsidRPr="00683DEF" w14:paraId="1D559D0F" w14:textId="77777777" w:rsidTr="00F76C45">
        <w:tc>
          <w:tcPr>
            <w:tcW w:w="0" w:type="auto"/>
            <w:gridSpan w:val="2"/>
          </w:tcPr>
          <w:p w14:paraId="56170112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Review of financial position at year end</w:t>
            </w:r>
          </w:p>
        </w:tc>
        <w:tc>
          <w:tcPr>
            <w:tcW w:w="0" w:type="auto"/>
          </w:tcPr>
          <w:p w14:paraId="4B90F331" w14:textId="108CF0E5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194F96B7" w14:textId="11952CCE" w:rsidR="00F650D3" w:rsidRDefault="00F650D3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F650D3" w:rsidRPr="00683DEF" w14:paraId="00A063D7" w14:textId="77777777" w:rsidTr="00F76C45">
        <w:tc>
          <w:tcPr>
            <w:tcW w:w="0" w:type="auto"/>
            <w:gridSpan w:val="2"/>
          </w:tcPr>
          <w:p w14:paraId="78771339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Summary of main achievements</w:t>
            </w:r>
          </w:p>
        </w:tc>
        <w:tc>
          <w:tcPr>
            <w:tcW w:w="0" w:type="auto"/>
          </w:tcPr>
          <w:p w14:paraId="0B297C8D" w14:textId="759C8450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67609E28" w14:textId="7F832944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2875E1" w:rsidRPr="00683DEF" w14:paraId="2A073275" w14:textId="77777777" w:rsidTr="00B71B85">
        <w:tc>
          <w:tcPr>
            <w:tcW w:w="0" w:type="auto"/>
            <w:gridSpan w:val="2"/>
          </w:tcPr>
          <w:p w14:paraId="2422D386" w14:textId="77777777" w:rsidR="002875E1" w:rsidRPr="009076D8" w:rsidRDefault="002875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Sustainability statement</w:t>
            </w:r>
          </w:p>
        </w:tc>
        <w:tc>
          <w:tcPr>
            <w:tcW w:w="0" w:type="auto"/>
            <w:gridSpan w:val="2"/>
          </w:tcPr>
          <w:p w14:paraId="737D53DD" w14:textId="33469073" w:rsidR="002875E1" w:rsidRPr="009076D8" w:rsidRDefault="002875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BYM Annual Return</w:t>
            </w:r>
          </w:p>
        </w:tc>
      </w:tr>
      <w:tr w:rsidR="00F650D3" w:rsidRPr="00683DEF" w14:paraId="463F8ADC" w14:textId="77777777" w:rsidTr="00F76C45">
        <w:tc>
          <w:tcPr>
            <w:tcW w:w="0" w:type="auto"/>
            <w:gridSpan w:val="2"/>
          </w:tcPr>
          <w:p w14:paraId="71277F01" w14:textId="3DD3118A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Details of any deficit including on any fund for those accrual accounting</w:t>
            </w:r>
          </w:p>
        </w:tc>
        <w:tc>
          <w:tcPr>
            <w:tcW w:w="0" w:type="auto"/>
          </w:tcPr>
          <w:p w14:paraId="134034AA" w14:textId="6554A9CE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730FF539" w14:textId="75C872FE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923BBB" w:rsidRPr="00683DEF" w14:paraId="080C1D67" w14:textId="77777777" w:rsidTr="00F76C45">
        <w:tc>
          <w:tcPr>
            <w:tcW w:w="0" w:type="auto"/>
            <w:gridSpan w:val="2"/>
          </w:tcPr>
          <w:p w14:paraId="5053DEE1" w14:textId="35205E46" w:rsidR="00923BBB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Donated goods (other than for resale) and services</w:t>
            </w:r>
          </w:p>
        </w:tc>
        <w:tc>
          <w:tcPr>
            <w:tcW w:w="0" w:type="auto"/>
          </w:tcPr>
          <w:p w14:paraId="3C9A2C41" w14:textId="77777777" w:rsidR="00923BBB" w:rsidRPr="009076D8" w:rsidRDefault="00923BBB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1A091F5" w14:textId="50EF1846" w:rsidR="00923BBB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  <w:tr w:rsidR="00F209E1" w:rsidRPr="00683DEF" w14:paraId="41A3F835" w14:textId="77777777" w:rsidTr="00F76C45">
        <w:tc>
          <w:tcPr>
            <w:tcW w:w="0" w:type="auto"/>
            <w:gridSpan w:val="2"/>
          </w:tcPr>
          <w:p w14:paraId="2BE6AB5A" w14:textId="4A75E1D2" w:rsidR="00F209E1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Details of any going concern uncertainty</w:t>
            </w:r>
          </w:p>
        </w:tc>
        <w:tc>
          <w:tcPr>
            <w:tcW w:w="0" w:type="auto"/>
          </w:tcPr>
          <w:p w14:paraId="4B4858E9" w14:textId="27650397" w:rsidR="00F209E1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3187CBD8" w14:textId="77777777" w:rsidR="00F209E1" w:rsidRDefault="00F209E1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F650D3" w:rsidRPr="00683DEF" w14:paraId="1305C2D2" w14:textId="77777777" w:rsidTr="00F76C45">
        <w:tc>
          <w:tcPr>
            <w:tcW w:w="0" w:type="auto"/>
          </w:tcPr>
          <w:p w14:paraId="0EBEFD35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Policies:</w:t>
            </w:r>
          </w:p>
        </w:tc>
        <w:tc>
          <w:tcPr>
            <w:tcW w:w="0" w:type="auto"/>
          </w:tcPr>
          <w:p w14:paraId="50048137" w14:textId="77777777" w:rsidR="00F650D3" w:rsidRPr="009076D8" w:rsidRDefault="00F650D3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Reserves, amount held and why</w:t>
            </w:r>
          </w:p>
        </w:tc>
        <w:tc>
          <w:tcPr>
            <w:tcW w:w="0" w:type="auto"/>
          </w:tcPr>
          <w:p w14:paraId="57DE0634" w14:textId="0A02302D" w:rsidR="00F650D3" w:rsidRPr="009076D8" w:rsidRDefault="00F209E1" w:rsidP="00F3685B">
            <w:pPr>
              <w:spacing w:after="0"/>
              <w:rPr>
                <w:rFonts w:cs="Arial"/>
                <w:szCs w:val="24"/>
              </w:rPr>
            </w:pPr>
            <w:r w:rsidRPr="009076D8">
              <w:rPr>
                <w:rFonts w:cs="Arial"/>
                <w:szCs w:val="24"/>
              </w:rPr>
              <w:t>Y</w:t>
            </w:r>
          </w:p>
        </w:tc>
        <w:tc>
          <w:tcPr>
            <w:tcW w:w="0" w:type="auto"/>
          </w:tcPr>
          <w:p w14:paraId="6356C663" w14:textId="4D5CA23A" w:rsidR="00F650D3" w:rsidRDefault="00923BB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</w:p>
        </w:tc>
      </w:tr>
    </w:tbl>
    <w:p w14:paraId="35BB5C89" w14:textId="77777777" w:rsidR="005C6645" w:rsidRDefault="005C6645" w:rsidP="0004533D">
      <w:pPr>
        <w:spacing w:after="0"/>
        <w:rPr>
          <w:rFonts w:cs="Arial"/>
          <w:b/>
          <w:szCs w:val="24"/>
        </w:rPr>
      </w:pPr>
    </w:p>
    <w:p w14:paraId="7ED857CB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FF31194" w14:textId="2051A033" w:rsidR="00527BB3" w:rsidRPr="00917363" w:rsidRDefault="006E1873" w:rsidP="00075ECA">
      <w:pPr>
        <w:pStyle w:val="Heading2"/>
      </w:pPr>
      <w:r>
        <w:lastRenderedPageBreak/>
        <w:t>B</w:t>
      </w:r>
      <w:r w:rsidR="00F3685B">
        <w:t xml:space="preserve">: </w:t>
      </w:r>
      <w:r w:rsidR="00527BB3">
        <w:t xml:space="preserve">RECEIPTS AND PAYMENTS </w:t>
      </w:r>
      <w:r w:rsidR="00672F2B">
        <w:t>BASIS</w:t>
      </w:r>
      <w:r w:rsidR="00D15AA6">
        <w:t>: GROSS INCOME BELOW £250,000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41"/>
        <w:gridCol w:w="994"/>
        <w:gridCol w:w="1275"/>
        <w:gridCol w:w="3963"/>
      </w:tblGrid>
      <w:tr w:rsidR="00F54D31" w:rsidRPr="00EF4E60" w14:paraId="2646E115" w14:textId="77777777" w:rsidTr="00F54D31">
        <w:trPr>
          <w:trHeight w:val="620"/>
        </w:trPr>
        <w:tc>
          <w:tcPr>
            <w:tcW w:w="1764" w:type="pct"/>
            <w:gridSpan w:val="2"/>
            <w:vMerge w:val="restart"/>
          </w:tcPr>
          <w:p w14:paraId="4AF62B2A" w14:textId="77777777" w:rsidR="00F54D31" w:rsidRPr="00DD403D" w:rsidRDefault="00F54D31" w:rsidP="00F06A7D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3236" w:type="pct"/>
            <w:gridSpan w:val="3"/>
          </w:tcPr>
          <w:p w14:paraId="75F72B59" w14:textId="7D551B97" w:rsidR="00F54D31" w:rsidRPr="00F54D31" w:rsidRDefault="00F54D31" w:rsidP="00F54D31">
            <w:pPr>
              <w:spacing w:after="0"/>
              <w:jc w:val="center"/>
              <w:rPr>
                <w:rFonts w:cs="Arial"/>
                <w:b/>
                <w:i/>
                <w:iCs/>
                <w:szCs w:val="24"/>
              </w:rPr>
            </w:pPr>
            <w:r w:rsidRPr="00F54D31">
              <w:rPr>
                <w:rFonts w:cs="Arial"/>
                <w:b/>
                <w:i/>
                <w:iCs/>
                <w:szCs w:val="24"/>
              </w:rPr>
              <w:t>Where?</w:t>
            </w:r>
          </w:p>
        </w:tc>
      </w:tr>
      <w:tr w:rsidR="00F54D31" w:rsidRPr="00EF4E60" w14:paraId="064800E8" w14:textId="77777777" w:rsidTr="00F54D31">
        <w:trPr>
          <w:trHeight w:val="620"/>
        </w:trPr>
        <w:tc>
          <w:tcPr>
            <w:tcW w:w="1764" w:type="pct"/>
            <w:gridSpan w:val="2"/>
            <w:vMerge/>
          </w:tcPr>
          <w:p w14:paraId="6E94AB2D" w14:textId="77777777" w:rsidR="00F54D31" w:rsidRPr="00DD403D" w:rsidRDefault="00F54D31" w:rsidP="00F54D31">
            <w:pPr>
              <w:spacing w:after="0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516" w:type="pct"/>
          </w:tcPr>
          <w:p w14:paraId="001D35B2" w14:textId="6F5F8069" w:rsidR="00F54D31" w:rsidRDefault="00F54D31" w:rsidP="00F54D31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Guide section</w:t>
            </w:r>
          </w:p>
        </w:tc>
        <w:tc>
          <w:tcPr>
            <w:tcW w:w="662" w:type="pct"/>
          </w:tcPr>
          <w:p w14:paraId="7BA1A123" w14:textId="7CAE155A" w:rsidR="00F54D31" w:rsidRDefault="00F54D31" w:rsidP="00F54D31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iCs/>
                <w:szCs w:val="24"/>
              </w:rPr>
              <w:t>Template</w:t>
            </w:r>
            <w:r w:rsidRPr="00075ECA">
              <w:rPr>
                <w:rFonts w:cs="Arial"/>
                <w:b/>
                <w:i/>
                <w:iCs/>
                <w:szCs w:val="24"/>
              </w:rPr>
              <w:t xml:space="preserve"> section</w:t>
            </w:r>
          </w:p>
        </w:tc>
        <w:tc>
          <w:tcPr>
            <w:tcW w:w="2058" w:type="pct"/>
          </w:tcPr>
          <w:p w14:paraId="5877C832" w14:textId="39B0D347" w:rsidR="00F54D31" w:rsidRDefault="00F54D31" w:rsidP="00F54D31">
            <w:pPr>
              <w:spacing w:after="0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szCs w:val="24"/>
              </w:rPr>
              <w:t>Ref OSCR workpack (note 3)</w:t>
            </w:r>
          </w:p>
        </w:tc>
      </w:tr>
      <w:tr w:rsidR="00F54D31" w:rsidRPr="00683DEF" w14:paraId="23B559C9" w14:textId="77777777" w:rsidTr="00F54D31">
        <w:tc>
          <w:tcPr>
            <w:tcW w:w="808" w:type="pct"/>
            <w:vMerge w:val="restart"/>
          </w:tcPr>
          <w:p w14:paraId="29795BB4" w14:textId="606A5F56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Receipts and Payments</w:t>
            </w:r>
          </w:p>
        </w:tc>
        <w:tc>
          <w:tcPr>
            <w:tcW w:w="956" w:type="pct"/>
          </w:tcPr>
          <w:p w14:paraId="2FBFD737" w14:textId="77777777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 per template</w:t>
            </w:r>
          </w:p>
        </w:tc>
        <w:tc>
          <w:tcPr>
            <w:tcW w:w="516" w:type="pct"/>
          </w:tcPr>
          <w:p w14:paraId="187934D9" w14:textId="293FADDA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</w:t>
            </w:r>
          </w:p>
          <w:p w14:paraId="79122E17" w14:textId="16CA4736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</w:t>
            </w:r>
          </w:p>
          <w:p w14:paraId="6DB0361D" w14:textId="066E3C8D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662" w:type="pct"/>
          </w:tcPr>
          <w:p w14:paraId="34AF4107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  <w:p w14:paraId="425E6D5A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</w:p>
          <w:p w14:paraId="3B95FE4C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 / A3</w:t>
            </w:r>
          </w:p>
          <w:p w14:paraId="044972F8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A1</w:t>
            </w:r>
          </w:p>
          <w:p w14:paraId="1D436802" w14:textId="10CC40E7" w:rsidR="00F54D31" w:rsidRPr="00D12CD7" w:rsidRDefault="00F54D31" w:rsidP="00F54D31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A2 / A4</w:t>
            </w:r>
          </w:p>
        </w:tc>
        <w:tc>
          <w:tcPr>
            <w:tcW w:w="2058" w:type="pct"/>
          </w:tcPr>
          <w:p w14:paraId="1C18EE46" w14:textId="6A781ED3" w:rsidR="00F54D31" w:rsidRPr="00973791" w:rsidRDefault="00F54D31" w:rsidP="00F54D31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Unrestricted and restricted funds clearly identified</w:t>
            </w:r>
          </w:p>
          <w:p w14:paraId="0379B11A" w14:textId="17CE3CF1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Summarise by activity </w:t>
            </w:r>
          </w:p>
          <w:p w14:paraId="6E8BD25D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gross Income (A1) </w:t>
            </w:r>
          </w:p>
          <w:p w14:paraId="0512222A" w14:textId="0C2A1432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separately asset and investment sales/purchases  </w:t>
            </w:r>
          </w:p>
        </w:tc>
      </w:tr>
      <w:tr w:rsidR="00F54D31" w:rsidRPr="00683DEF" w14:paraId="28BC44F9" w14:textId="77777777" w:rsidTr="00F54D31">
        <w:tc>
          <w:tcPr>
            <w:tcW w:w="808" w:type="pct"/>
            <w:vMerge/>
          </w:tcPr>
          <w:p w14:paraId="7F423428" w14:textId="1EDFC81B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56" w:type="pct"/>
          </w:tcPr>
          <w:p w14:paraId="29D7CEF4" w14:textId="77777777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Separate column for each fund type</w:t>
            </w:r>
          </w:p>
        </w:tc>
        <w:tc>
          <w:tcPr>
            <w:tcW w:w="516" w:type="pct"/>
          </w:tcPr>
          <w:p w14:paraId="572B3A2F" w14:textId="39652D56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</w:t>
            </w:r>
          </w:p>
        </w:tc>
        <w:tc>
          <w:tcPr>
            <w:tcW w:w="662" w:type="pct"/>
          </w:tcPr>
          <w:p w14:paraId="6C9F3568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  <w:p w14:paraId="47E3FD6D" w14:textId="32D0BAD0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A5</w:t>
            </w:r>
          </w:p>
        </w:tc>
        <w:tc>
          <w:tcPr>
            <w:tcW w:w="2058" w:type="pct"/>
          </w:tcPr>
          <w:p w14:paraId="090F3DA3" w14:textId="77064DCF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Account for separate fund </w:t>
            </w:r>
            <w:proofErr w:type="gramStart"/>
            <w:r>
              <w:rPr>
                <w:rFonts w:cs="Arial"/>
                <w:szCs w:val="24"/>
              </w:rPr>
              <w:t>types</w:t>
            </w:r>
            <w:proofErr w:type="gramEnd"/>
            <w:r>
              <w:rPr>
                <w:rFonts w:cs="Arial"/>
                <w:szCs w:val="24"/>
              </w:rPr>
              <w:t xml:space="preserve"> transfers net to zero (A5)</w:t>
            </w:r>
          </w:p>
        </w:tc>
      </w:tr>
      <w:tr w:rsidR="00F54D31" w:rsidRPr="00683DEF" w14:paraId="0FEDB2C4" w14:textId="77777777" w:rsidTr="00F54D31">
        <w:tc>
          <w:tcPr>
            <w:tcW w:w="808" w:type="pct"/>
            <w:vMerge/>
          </w:tcPr>
          <w:p w14:paraId="59AEC51E" w14:textId="77777777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956" w:type="pct"/>
          </w:tcPr>
          <w:p w14:paraId="20CD06BD" w14:textId="4CAD9B4D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516" w:type="pct"/>
          </w:tcPr>
          <w:p w14:paraId="74883748" w14:textId="7989084B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</w:t>
            </w:r>
          </w:p>
        </w:tc>
        <w:tc>
          <w:tcPr>
            <w:tcW w:w="662" w:type="pct"/>
          </w:tcPr>
          <w:p w14:paraId="65A02265" w14:textId="2C756902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</w:p>
        </w:tc>
        <w:tc>
          <w:tcPr>
            <w:tcW w:w="2058" w:type="pct"/>
          </w:tcPr>
          <w:p w14:paraId="39DF068B" w14:textId="55B13729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Column L (spreadsheet)</w:t>
            </w:r>
          </w:p>
          <w:p w14:paraId="28BDAEF5" w14:textId="5FE1E48A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Total Funds Last Period (PDF)</w:t>
            </w:r>
          </w:p>
        </w:tc>
      </w:tr>
      <w:tr w:rsidR="00F54D31" w14:paraId="5D849065" w14:textId="77777777" w:rsidTr="00F54D31">
        <w:tc>
          <w:tcPr>
            <w:tcW w:w="808" w:type="pct"/>
          </w:tcPr>
          <w:p w14:paraId="2CEFC0CD" w14:textId="5355611D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Balances</w:t>
            </w:r>
          </w:p>
        </w:tc>
        <w:tc>
          <w:tcPr>
            <w:tcW w:w="956" w:type="pct"/>
          </w:tcPr>
          <w:p w14:paraId="04C449C6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516" w:type="pct"/>
          </w:tcPr>
          <w:p w14:paraId="794EE779" w14:textId="6AF5F74C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5.2</w:t>
            </w:r>
          </w:p>
        </w:tc>
        <w:tc>
          <w:tcPr>
            <w:tcW w:w="662" w:type="pct"/>
          </w:tcPr>
          <w:p w14:paraId="2A5B7E71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</w:p>
          <w:p w14:paraId="130E77F7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B1</w:t>
            </w:r>
          </w:p>
          <w:p w14:paraId="474B59AD" w14:textId="2D1CFA13" w:rsidR="00F54D31" w:rsidRPr="00D12CD7" w:rsidRDefault="00F54D31" w:rsidP="00F54D31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B1</w:t>
            </w:r>
          </w:p>
        </w:tc>
        <w:tc>
          <w:tcPr>
            <w:tcW w:w="2058" w:type="pct"/>
          </w:tcPr>
          <w:p w14:paraId="63131626" w14:textId="74038D29" w:rsidR="00F54D31" w:rsidRPr="00D12CD7" w:rsidRDefault="00F54D31" w:rsidP="00F54D31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Accounts add up correctly</w:t>
            </w:r>
          </w:p>
          <w:p w14:paraId="6E45A01F" w14:textId="17143B26" w:rsidR="00F54D31" w:rsidRPr="00973791" w:rsidRDefault="00F54D31" w:rsidP="00F54D31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Agrees with R&amp;P account</w:t>
            </w:r>
            <w:r>
              <w:rPr>
                <w:rFonts w:cs="Arial"/>
                <w:b/>
                <w:szCs w:val="24"/>
              </w:rPr>
              <w:t xml:space="preserve"> (B1)</w:t>
            </w:r>
          </w:p>
          <w:p w14:paraId="66AB87C5" w14:textId="60CE94FC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by fund type (B 1)</w:t>
            </w:r>
          </w:p>
        </w:tc>
      </w:tr>
      <w:tr w:rsidR="00F54D31" w14:paraId="44EEDFD9" w14:textId="77777777" w:rsidTr="00F54D31">
        <w:tc>
          <w:tcPr>
            <w:tcW w:w="808" w:type="pct"/>
          </w:tcPr>
          <w:p w14:paraId="41A45645" w14:textId="77777777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Approved and signed by a trustee</w:t>
            </w:r>
          </w:p>
        </w:tc>
        <w:tc>
          <w:tcPr>
            <w:tcW w:w="956" w:type="pct"/>
          </w:tcPr>
          <w:p w14:paraId="588E7E44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516" w:type="pct"/>
          </w:tcPr>
          <w:p w14:paraId="6D8ED170" w14:textId="722BBA29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662" w:type="pct"/>
          </w:tcPr>
          <w:p w14:paraId="272032A6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058" w:type="pct"/>
          </w:tcPr>
          <w:p w14:paraId="1B05B49E" w14:textId="6A9E35A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Below B5 (template)</w:t>
            </w:r>
          </w:p>
        </w:tc>
      </w:tr>
      <w:tr w:rsidR="00F54D31" w14:paraId="44A879BA" w14:textId="77777777" w:rsidTr="00F54D31">
        <w:tc>
          <w:tcPr>
            <w:tcW w:w="808" w:type="pct"/>
          </w:tcPr>
          <w:p w14:paraId="1B0E687E" w14:textId="77777777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Certified by </w:t>
            </w:r>
            <w:r w:rsidRPr="00683DEF">
              <w:rPr>
                <w:rFonts w:cs="Arial"/>
                <w:szCs w:val="24"/>
              </w:rPr>
              <w:t>examiner</w:t>
            </w:r>
          </w:p>
        </w:tc>
        <w:tc>
          <w:tcPr>
            <w:tcW w:w="956" w:type="pct"/>
          </w:tcPr>
          <w:p w14:paraId="12CB6964" w14:textId="77777777" w:rsidR="00F54D31" w:rsidRPr="00D12CD7" w:rsidRDefault="00F54D31" w:rsidP="00F54D31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2096DCF9" w14:textId="77777777" w:rsidR="00F54D31" w:rsidRDefault="00F54D31" w:rsidP="00F54D31">
            <w:pPr>
              <w:spacing w:after="0"/>
              <w:rPr>
                <w:rFonts w:cs="Arial"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516" w:type="pct"/>
          </w:tcPr>
          <w:p w14:paraId="56A80669" w14:textId="07921330" w:rsidR="00F54D31" w:rsidRPr="00683DEF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7.3</w:t>
            </w:r>
          </w:p>
        </w:tc>
        <w:tc>
          <w:tcPr>
            <w:tcW w:w="662" w:type="pct"/>
          </w:tcPr>
          <w:p w14:paraId="6F625DEC" w14:textId="6D915E93" w:rsidR="00F54D31" w:rsidRPr="007F346D" w:rsidDel="003916F7" w:rsidRDefault="00F54D31" w:rsidP="00F54D3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Appendix 3</w:t>
            </w:r>
          </w:p>
        </w:tc>
        <w:tc>
          <w:tcPr>
            <w:tcW w:w="2058" w:type="pct"/>
          </w:tcPr>
          <w:p w14:paraId="070ACEB4" w14:textId="65A8605C" w:rsidR="00F54D31" w:rsidRPr="007F346D" w:rsidRDefault="00F54D31" w:rsidP="00F54D31">
            <w:pPr>
              <w:rPr>
                <w:rFonts w:cs="Arial"/>
                <w:szCs w:val="24"/>
              </w:rPr>
            </w:pPr>
          </w:p>
        </w:tc>
      </w:tr>
    </w:tbl>
    <w:p w14:paraId="5BEDE3FD" w14:textId="77777777" w:rsidR="00692EDF" w:rsidRPr="00A31172" w:rsidRDefault="00692EDF" w:rsidP="000C7071">
      <w:pPr>
        <w:spacing w:after="0"/>
        <w:rPr>
          <w:szCs w:val="23"/>
        </w:rPr>
      </w:pPr>
    </w:p>
    <w:p w14:paraId="6893FD2A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2D4BC85" w14:textId="559B3DE7" w:rsidR="00672F2B" w:rsidRDefault="006E1873" w:rsidP="00075ECA">
      <w:pPr>
        <w:pStyle w:val="Heading2"/>
      </w:pPr>
      <w:r>
        <w:lastRenderedPageBreak/>
        <w:t>C</w:t>
      </w:r>
      <w:r w:rsidR="00F3685B">
        <w:t xml:space="preserve">: </w:t>
      </w:r>
      <w:r w:rsidR="00672F2B" w:rsidRPr="00792021">
        <w:t>ACCRUALS BASI</w:t>
      </w:r>
      <w:r w:rsidR="0096450B">
        <w:t>S: CHARITIES WITHIN SMALL COMPANY DEFINITION</w:t>
      </w:r>
      <w:r w:rsidR="004F6F67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345"/>
        <w:gridCol w:w="3678"/>
      </w:tblGrid>
      <w:tr w:rsidR="00095690" w:rsidRPr="00DD403D" w14:paraId="080E9D16" w14:textId="77777777" w:rsidTr="00095690">
        <w:trPr>
          <w:trHeight w:val="207"/>
        </w:trPr>
        <w:tc>
          <w:tcPr>
            <w:tcW w:w="3089" w:type="pct"/>
            <w:gridSpan w:val="2"/>
            <w:vMerge w:val="restart"/>
          </w:tcPr>
          <w:p w14:paraId="06510134" w14:textId="77777777" w:rsidR="00095690" w:rsidRPr="00DD403D" w:rsidRDefault="00095690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1911" w:type="pct"/>
          </w:tcPr>
          <w:p w14:paraId="7DA041F0" w14:textId="2064FFAD" w:rsidR="00095690" w:rsidRPr="000C7071" w:rsidRDefault="00095690" w:rsidP="00095690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</w:tr>
      <w:tr w:rsidR="00095690" w:rsidRPr="00DD403D" w14:paraId="0996F875" w14:textId="77777777" w:rsidTr="00095690">
        <w:trPr>
          <w:trHeight w:val="206"/>
        </w:trPr>
        <w:tc>
          <w:tcPr>
            <w:tcW w:w="3089" w:type="pct"/>
            <w:gridSpan w:val="2"/>
            <w:vMerge/>
          </w:tcPr>
          <w:p w14:paraId="1F07E34B" w14:textId="77777777" w:rsidR="00095690" w:rsidRPr="00DD403D" w:rsidRDefault="00095690" w:rsidP="00672F2B">
            <w:pPr>
              <w:spacing w:after="0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1911" w:type="pct"/>
          </w:tcPr>
          <w:p w14:paraId="10B84E0D" w14:textId="71331FFE" w:rsidR="00095690" w:rsidRDefault="00095690" w:rsidP="00672F2B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SORP(FRS102</w:t>
            </w:r>
            <w:r w:rsidRPr="000C7071">
              <w:rPr>
                <w:rFonts w:cs="Arial"/>
                <w:b/>
                <w:szCs w:val="24"/>
              </w:rPr>
              <w:t xml:space="preserve">) </w:t>
            </w:r>
            <w:r>
              <w:rPr>
                <w:rFonts w:cs="Arial"/>
                <w:b/>
                <w:szCs w:val="24"/>
              </w:rPr>
              <w:t>(note 1)</w:t>
            </w:r>
          </w:p>
        </w:tc>
      </w:tr>
      <w:tr w:rsidR="00095690" w:rsidRPr="00683DEF" w14:paraId="1674A39E" w14:textId="77777777" w:rsidTr="00095690">
        <w:tc>
          <w:tcPr>
            <w:tcW w:w="1353" w:type="pct"/>
            <w:vMerge w:val="restart"/>
          </w:tcPr>
          <w:p w14:paraId="33AD0313" w14:textId="77777777" w:rsidR="00095690" w:rsidRPr="00683DEF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SoFA</w:t>
            </w:r>
          </w:p>
        </w:tc>
        <w:tc>
          <w:tcPr>
            <w:tcW w:w="1737" w:type="pct"/>
          </w:tcPr>
          <w:p w14:paraId="0F5BBE95" w14:textId="77777777" w:rsidR="00095690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  <w:p w14:paraId="4DAB02F7" w14:textId="77777777" w:rsidR="00095690" w:rsidRPr="00F72050" w:rsidRDefault="00095690" w:rsidP="00672F2B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Includes Income &amp; Expenditure a/c</w:t>
            </w:r>
          </w:p>
          <w:p w14:paraId="349D9759" w14:textId="77777777" w:rsidR="00095690" w:rsidRPr="00F72050" w:rsidRDefault="00095690" w:rsidP="00672F2B">
            <w:pPr>
              <w:spacing w:after="0"/>
              <w:rPr>
                <w:rFonts w:cs="Arial"/>
                <w:b/>
                <w:szCs w:val="24"/>
              </w:rPr>
            </w:pPr>
            <w:r w:rsidRPr="00F72050">
              <w:rPr>
                <w:rFonts w:cs="Arial"/>
                <w:b/>
                <w:szCs w:val="24"/>
              </w:rPr>
              <w:t>Separate fund types</w:t>
            </w:r>
          </w:p>
          <w:p w14:paraId="1CC3EE1A" w14:textId="77777777" w:rsidR="00095690" w:rsidRPr="00683DEF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Transfers net to nil</w:t>
            </w:r>
          </w:p>
        </w:tc>
        <w:tc>
          <w:tcPr>
            <w:tcW w:w="1911" w:type="pct"/>
          </w:tcPr>
          <w:p w14:paraId="371C50D8" w14:textId="159E0C31" w:rsidR="00095690" w:rsidRDefault="00095690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4.1, Table 2, 4.6, 4.27</w:t>
            </w:r>
          </w:p>
          <w:p w14:paraId="545644C9" w14:textId="663C7624" w:rsidR="00095690" w:rsidRDefault="00095690" w:rsidP="00E6496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activity basis</w:t>
            </w:r>
          </w:p>
          <w:p w14:paraId="0C99B674" w14:textId="77777777" w:rsidR="00095690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2.27</w:t>
            </w:r>
          </w:p>
          <w:p w14:paraId="7FF93509" w14:textId="61F819EE" w:rsidR="00095690" w:rsidRPr="00683DEF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4.9</w:t>
            </w:r>
          </w:p>
        </w:tc>
      </w:tr>
      <w:tr w:rsidR="00095690" w:rsidRPr="00683DEF" w14:paraId="075A8CFC" w14:textId="77777777" w:rsidTr="00095690">
        <w:tc>
          <w:tcPr>
            <w:tcW w:w="1353" w:type="pct"/>
            <w:vMerge/>
          </w:tcPr>
          <w:p w14:paraId="13B595EE" w14:textId="77777777" w:rsidR="00095690" w:rsidRPr="00683DEF" w:rsidRDefault="00095690" w:rsidP="00672F2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737" w:type="pct"/>
          </w:tcPr>
          <w:p w14:paraId="38458169" w14:textId="3B2BB450" w:rsidR="00095690" w:rsidRPr="00683DEF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1911" w:type="pct"/>
          </w:tcPr>
          <w:p w14:paraId="6F400DB3" w14:textId="57DEA750" w:rsidR="00095690" w:rsidRPr="00683DEF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4.2, Table 2</w:t>
            </w:r>
          </w:p>
        </w:tc>
      </w:tr>
      <w:tr w:rsidR="00095690" w:rsidRPr="00683DEF" w14:paraId="5FD57BA2" w14:textId="77777777" w:rsidTr="00095690">
        <w:tc>
          <w:tcPr>
            <w:tcW w:w="1353" w:type="pct"/>
          </w:tcPr>
          <w:p w14:paraId="37DF43E3" w14:textId="77777777" w:rsidR="00095690" w:rsidRPr="00683DEF" w:rsidRDefault="00095690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Balance Sheet</w:t>
            </w:r>
          </w:p>
        </w:tc>
        <w:tc>
          <w:tcPr>
            <w:tcW w:w="1737" w:type="pct"/>
          </w:tcPr>
          <w:p w14:paraId="0B3C38FB" w14:textId="77777777" w:rsidR="00095690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</w:tc>
        <w:tc>
          <w:tcPr>
            <w:tcW w:w="1911" w:type="pct"/>
          </w:tcPr>
          <w:p w14:paraId="022141C3" w14:textId="4BA6EF4D" w:rsidR="00095690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10.1, Table 5</w:t>
            </w:r>
          </w:p>
          <w:p w14:paraId="50E4900F" w14:textId="77777777" w:rsidR="00095690" w:rsidRPr="00D12CD7" w:rsidRDefault="00095690" w:rsidP="00B53932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Accounts add up correctly</w:t>
            </w:r>
          </w:p>
          <w:p w14:paraId="6B776E75" w14:textId="77777777" w:rsidR="00095690" w:rsidRDefault="00095690" w:rsidP="00B53932">
            <w:pPr>
              <w:spacing w:after="0"/>
              <w:rPr>
                <w:rFonts w:cs="Arial"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Consistent with SoFA</w:t>
            </w:r>
          </w:p>
        </w:tc>
      </w:tr>
      <w:tr w:rsidR="00095690" w:rsidRPr="00683DEF" w14:paraId="67F62625" w14:textId="77777777" w:rsidTr="00095690">
        <w:tc>
          <w:tcPr>
            <w:tcW w:w="1353" w:type="pct"/>
          </w:tcPr>
          <w:p w14:paraId="1BF4DCE1" w14:textId="77777777" w:rsidR="00095690" w:rsidRPr="00683DEF" w:rsidRDefault="00095690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 xml:space="preserve">Approved and signed by </w:t>
            </w:r>
            <w:r>
              <w:rPr>
                <w:rFonts w:cs="Arial"/>
                <w:szCs w:val="24"/>
              </w:rPr>
              <w:t>a trustee</w:t>
            </w:r>
          </w:p>
        </w:tc>
        <w:tc>
          <w:tcPr>
            <w:tcW w:w="1737" w:type="pct"/>
          </w:tcPr>
          <w:p w14:paraId="1BCA7437" w14:textId="77777777" w:rsidR="00095690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Include date agreed by trustees</w:t>
            </w:r>
          </w:p>
        </w:tc>
        <w:tc>
          <w:tcPr>
            <w:tcW w:w="1911" w:type="pct"/>
          </w:tcPr>
          <w:p w14:paraId="6391B5BE" w14:textId="77777777" w:rsidR="00095690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10.8</w:t>
            </w:r>
          </w:p>
        </w:tc>
      </w:tr>
      <w:tr w:rsidR="00095690" w:rsidRPr="00683DEF" w14:paraId="00998E77" w14:textId="77777777" w:rsidTr="00095690">
        <w:trPr>
          <w:trHeight w:val="387"/>
        </w:trPr>
        <w:tc>
          <w:tcPr>
            <w:tcW w:w="1353" w:type="pct"/>
          </w:tcPr>
          <w:p w14:paraId="69223766" w14:textId="77777777" w:rsidR="00095690" w:rsidRPr="00683DEF" w:rsidRDefault="00095690" w:rsidP="00AC08BF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Certified by auditor/examiner</w:t>
            </w:r>
          </w:p>
        </w:tc>
        <w:tc>
          <w:tcPr>
            <w:tcW w:w="1737" w:type="pct"/>
          </w:tcPr>
          <w:p w14:paraId="60B43BB7" w14:textId="77777777" w:rsidR="00095690" w:rsidRPr="00D12CD7" w:rsidRDefault="00095690" w:rsidP="00B53932">
            <w:pPr>
              <w:spacing w:after="0"/>
              <w:rPr>
                <w:rFonts w:cs="Arial"/>
                <w:b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7D63B863" w14:textId="77777777" w:rsidR="00095690" w:rsidRDefault="00095690" w:rsidP="00B53932">
            <w:pPr>
              <w:spacing w:after="0"/>
              <w:rPr>
                <w:rFonts w:cs="Arial"/>
                <w:szCs w:val="24"/>
              </w:rPr>
            </w:pPr>
            <w:r w:rsidRPr="00D12CD7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1911" w:type="pct"/>
          </w:tcPr>
          <w:p w14:paraId="717069D9" w14:textId="136A014A" w:rsidR="00095690" w:rsidRDefault="00095690" w:rsidP="00672F2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(note 4)</w:t>
            </w:r>
          </w:p>
        </w:tc>
      </w:tr>
    </w:tbl>
    <w:p w14:paraId="45855B0C" w14:textId="64C035E5" w:rsidR="00B53932" w:rsidRDefault="0096450B" w:rsidP="0004533D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Small companies meet two of: Gross income up to £10.2million; Gross assets up to £5.1million; Employees up to 50.</w:t>
      </w:r>
    </w:p>
    <w:p w14:paraId="3D7E79B2" w14:textId="77777777" w:rsidR="00000E68" w:rsidRDefault="00000E68" w:rsidP="0004533D">
      <w:pPr>
        <w:spacing w:after="0"/>
        <w:rPr>
          <w:rFonts w:cs="Arial"/>
          <w:b/>
          <w:szCs w:val="24"/>
        </w:rPr>
      </w:pPr>
    </w:p>
    <w:p w14:paraId="6C77647B" w14:textId="77777777" w:rsidR="001D744A" w:rsidRDefault="001D744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802C08D" w14:textId="03FEDAA1" w:rsidR="00672F2B" w:rsidRPr="00871237" w:rsidRDefault="006E1873" w:rsidP="00075ECA">
      <w:pPr>
        <w:pStyle w:val="Heading2"/>
        <w:rPr>
          <w:sz w:val="16"/>
          <w:szCs w:val="16"/>
        </w:rPr>
      </w:pPr>
      <w:r>
        <w:lastRenderedPageBreak/>
        <w:t>D</w:t>
      </w:r>
      <w:r w:rsidR="00F3685B">
        <w:t xml:space="preserve">: </w:t>
      </w:r>
      <w:r w:rsidR="00792021" w:rsidRPr="00792021">
        <w:t>NOTES TO THE ACCOUNTS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2255"/>
        <w:gridCol w:w="2513"/>
      </w:tblGrid>
      <w:tr w:rsidR="00095690" w14:paraId="623A0B80" w14:textId="77777777" w:rsidTr="00095690">
        <w:trPr>
          <w:trHeight w:val="1034"/>
        </w:trPr>
        <w:tc>
          <w:tcPr>
            <w:tcW w:w="2524" w:type="pct"/>
            <w:vMerge w:val="restart"/>
          </w:tcPr>
          <w:p w14:paraId="0CA1B3A6" w14:textId="77777777" w:rsidR="00095690" w:rsidRDefault="00095690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476" w:type="pct"/>
            <w:gridSpan w:val="2"/>
          </w:tcPr>
          <w:p w14:paraId="5CDE9654" w14:textId="1718BB1B" w:rsidR="00095690" w:rsidRPr="00405AEC" w:rsidRDefault="00095690" w:rsidP="00095690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</w:tr>
      <w:tr w:rsidR="00095690" w14:paraId="2D0BA551" w14:textId="77777777" w:rsidTr="00095690">
        <w:trPr>
          <w:trHeight w:val="1033"/>
        </w:trPr>
        <w:tc>
          <w:tcPr>
            <w:tcW w:w="2524" w:type="pct"/>
            <w:vMerge/>
          </w:tcPr>
          <w:p w14:paraId="6EFA1890" w14:textId="77777777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171" w:type="pct"/>
          </w:tcPr>
          <w:p w14:paraId="2E5F4659" w14:textId="77777777" w:rsidR="00095690" w:rsidRPr="000C7071" w:rsidRDefault="00095690" w:rsidP="00095690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Accruals </w:t>
            </w:r>
          </w:p>
          <w:p w14:paraId="181AA1FF" w14:textId="77777777" w:rsidR="00095690" w:rsidRDefault="00095690" w:rsidP="00095690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SORP(FRS102)</w:t>
            </w:r>
          </w:p>
          <w:p w14:paraId="323321B9" w14:textId="50C5690F" w:rsidR="00095690" w:rsidRDefault="00095690" w:rsidP="00095690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(note 1)</w:t>
            </w:r>
          </w:p>
        </w:tc>
        <w:tc>
          <w:tcPr>
            <w:tcW w:w="1305" w:type="pct"/>
          </w:tcPr>
          <w:p w14:paraId="74D2041B" w14:textId="77777777" w:rsidR="00095690" w:rsidRDefault="00095690" w:rsidP="00095690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Receipts / Payments</w:t>
            </w:r>
          </w:p>
          <w:p w14:paraId="442DD330" w14:textId="37F46E8E" w:rsidR="00095690" w:rsidRDefault="00095690" w:rsidP="00095690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OSCR workpack (note 3)</w:t>
            </w:r>
          </w:p>
        </w:tc>
      </w:tr>
      <w:tr w:rsidR="00095690" w14:paraId="34F43B38" w14:textId="77777777" w:rsidTr="00095690">
        <w:tc>
          <w:tcPr>
            <w:tcW w:w="2524" w:type="pct"/>
          </w:tcPr>
          <w:p w14:paraId="67D8186C" w14:textId="77777777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Income and Expenditure Analysis</w:t>
            </w:r>
          </w:p>
        </w:tc>
        <w:tc>
          <w:tcPr>
            <w:tcW w:w="1171" w:type="pct"/>
          </w:tcPr>
          <w:p w14:paraId="33CDC688" w14:textId="0BD3F339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4.42, 4.57, 4.58, Table 3</w:t>
            </w:r>
          </w:p>
        </w:tc>
        <w:tc>
          <w:tcPr>
            <w:tcW w:w="1305" w:type="pct"/>
          </w:tcPr>
          <w:p w14:paraId="5935D6F1" w14:textId="3416B0CD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Additional Analysis (AA) (page 4-7)</w:t>
            </w:r>
          </w:p>
          <w:p w14:paraId="78461DDA" w14:textId="77CC8D01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AA1-4</w:t>
            </w:r>
          </w:p>
        </w:tc>
      </w:tr>
      <w:tr w:rsidR="00095690" w:rsidRPr="00683DEF" w14:paraId="02B043F8" w14:textId="77777777" w:rsidTr="00095690">
        <w:tc>
          <w:tcPr>
            <w:tcW w:w="2524" w:type="pct"/>
          </w:tcPr>
          <w:p w14:paraId="1890931C" w14:textId="2B36545A" w:rsidR="00095690" w:rsidRPr="00B53932" w:rsidRDefault="00095690" w:rsidP="00095690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Material Accounting policies followed, incl</w:t>
            </w:r>
            <w:r>
              <w:rPr>
                <w:rFonts w:cs="Arial"/>
                <w:b/>
                <w:szCs w:val="24"/>
              </w:rPr>
              <w:t>uding</w:t>
            </w:r>
            <w:r w:rsidRPr="00B53932">
              <w:rPr>
                <w:rFonts w:cs="Arial"/>
                <w:b/>
                <w:szCs w:val="24"/>
              </w:rPr>
              <w:t xml:space="preserve"> if in line with SORP &amp; FRS102</w:t>
            </w:r>
          </w:p>
        </w:tc>
        <w:tc>
          <w:tcPr>
            <w:tcW w:w="1171" w:type="pct"/>
          </w:tcPr>
          <w:p w14:paraId="28A147D4" w14:textId="301DF4AB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3.37, 5.56</w:t>
            </w:r>
          </w:p>
          <w:p w14:paraId="4E4D4F08" w14:textId="77777777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305" w:type="pct"/>
          </w:tcPr>
          <w:p w14:paraId="06DDB688" w14:textId="77777777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95690" w:rsidRPr="00683DEF" w14:paraId="70F99B55" w14:textId="77777777" w:rsidTr="00095690">
        <w:tc>
          <w:tcPr>
            <w:tcW w:w="2524" w:type="pct"/>
          </w:tcPr>
          <w:p w14:paraId="3F2C3C4A" w14:textId="77777777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Fixed Asset movement</w:t>
            </w:r>
          </w:p>
        </w:tc>
        <w:tc>
          <w:tcPr>
            <w:tcW w:w="1171" w:type="pct"/>
          </w:tcPr>
          <w:p w14:paraId="039C4F40" w14:textId="77777777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10.15 to 10.56</w:t>
            </w:r>
          </w:p>
        </w:tc>
        <w:tc>
          <w:tcPr>
            <w:tcW w:w="1305" w:type="pct"/>
          </w:tcPr>
          <w:p w14:paraId="1E990FA3" w14:textId="6465FD03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AA5</w:t>
            </w:r>
          </w:p>
        </w:tc>
      </w:tr>
      <w:tr w:rsidR="00095690" w:rsidRPr="00683DEF" w14:paraId="70BF580F" w14:textId="77777777" w:rsidTr="00095690">
        <w:tc>
          <w:tcPr>
            <w:tcW w:w="2524" w:type="pct"/>
          </w:tcPr>
          <w:p w14:paraId="4D6BD449" w14:textId="164405EC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Local Meetings </w:t>
            </w:r>
            <w:r w:rsidRPr="00683DEF">
              <w:rPr>
                <w:rFonts w:cs="Arial"/>
                <w:szCs w:val="24"/>
              </w:rPr>
              <w:t xml:space="preserve">SoFA and </w:t>
            </w:r>
            <w:r>
              <w:rPr>
                <w:rFonts w:cs="Arial"/>
                <w:szCs w:val="24"/>
              </w:rPr>
              <w:t>balance sheet / summary finances</w:t>
            </w:r>
          </w:p>
        </w:tc>
        <w:tc>
          <w:tcPr>
            <w:tcW w:w="1171" w:type="pct"/>
          </w:tcPr>
          <w:p w14:paraId="0C2A8E1F" w14:textId="50BD540A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25.1 </w:t>
            </w:r>
          </w:p>
        </w:tc>
        <w:tc>
          <w:tcPr>
            <w:tcW w:w="1305" w:type="pct"/>
          </w:tcPr>
          <w:p w14:paraId="579B0298" w14:textId="0A4DF694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AA5</w:t>
            </w:r>
          </w:p>
        </w:tc>
      </w:tr>
      <w:tr w:rsidR="00095690" w:rsidRPr="00683DEF" w14:paraId="1D78DBEF" w14:textId="77777777" w:rsidTr="00095690">
        <w:tc>
          <w:tcPr>
            <w:tcW w:w="2524" w:type="pct"/>
          </w:tcPr>
          <w:p w14:paraId="77A2254B" w14:textId="2433F807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Purpose of &amp; movements of individual</w:t>
            </w:r>
            <w:r w:rsidRPr="00683DEF">
              <w:rPr>
                <w:rFonts w:cs="Arial"/>
                <w:szCs w:val="24"/>
              </w:rPr>
              <w:t xml:space="preserve"> funds</w:t>
            </w:r>
          </w:p>
        </w:tc>
        <w:tc>
          <w:tcPr>
            <w:tcW w:w="1171" w:type="pct"/>
          </w:tcPr>
          <w:p w14:paraId="4683F299" w14:textId="0D91AA2D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2.28, 2.29, Table 1</w:t>
            </w:r>
          </w:p>
        </w:tc>
        <w:tc>
          <w:tcPr>
            <w:tcW w:w="1305" w:type="pct"/>
          </w:tcPr>
          <w:p w14:paraId="4EFEBBD6" w14:textId="384D6C21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AA6</w:t>
            </w:r>
          </w:p>
        </w:tc>
      </w:tr>
      <w:tr w:rsidR="00095690" w:rsidRPr="00683DEF" w14:paraId="6B516DCC" w14:textId="77777777" w:rsidTr="00095690">
        <w:tc>
          <w:tcPr>
            <w:tcW w:w="2524" w:type="pct"/>
          </w:tcPr>
          <w:p w14:paraId="409A1579" w14:textId="301CA868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Trustees’ remuneration </w:t>
            </w:r>
            <w:r w:rsidRPr="00D757CF">
              <w:rPr>
                <w:rFonts w:cs="Arial"/>
                <w:szCs w:val="24"/>
              </w:rPr>
              <w:t>(incl N</w:t>
            </w:r>
            <w:r>
              <w:rPr>
                <w:rFonts w:cs="Arial"/>
                <w:szCs w:val="24"/>
              </w:rPr>
              <w:t>IL</w:t>
            </w:r>
            <w:r w:rsidRPr="00D757CF">
              <w:rPr>
                <w:rFonts w:cs="Arial"/>
                <w:szCs w:val="24"/>
              </w:rPr>
              <w:t>)</w:t>
            </w:r>
          </w:p>
          <w:p w14:paraId="72369EE4" w14:textId="168A49B4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Trustees</w:t>
            </w:r>
            <w:proofErr w:type="gramEnd"/>
            <w:r>
              <w:rPr>
                <w:rFonts w:cs="Arial"/>
                <w:szCs w:val="24"/>
              </w:rPr>
              <w:t xml:space="preserve"> expenses, </w:t>
            </w:r>
            <w:r w:rsidRPr="00D757CF">
              <w:rPr>
                <w:rFonts w:cs="Arial"/>
                <w:szCs w:val="24"/>
              </w:rPr>
              <w:t>(incl NIL)</w:t>
            </w:r>
          </w:p>
          <w:p w14:paraId="347A8C29" w14:textId="17E0E359" w:rsidR="00095690" w:rsidRPr="00B53932" w:rsidRDefault="00095690" w:rsidP="00095690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Related Party Disclosure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Pr="00075ECA">
              <w:rPr>
                <w:rFonts w:cs="Arial"/>
                <w:b/>
                <w:szCs w:val="24"/>
              </w:rPr>
              <w:t>(</w:t>
            </w:r>
            <w:r w:rsidRPr="00D757CF">
              <w:rPr>
                <w:rFonts w:cs="Arial"/>
                <w:b/>
                <w:szCs w:val="24"/>
              </w:rPr>
              <w:t>including NIL)</w:t>
            </w:r>
          </w:p>
        </w:tc>
        <w:tc>
          <w:tcPr>
            <w:tcW w:w="1171" w:type="pct"/>
          </w:tcPr>
          <w:p w14:paraId="64403100" w14:textId="77777777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 to 9.8</w:t>
            </w:r>
          </w:p>
          <w:p w14:paraId="0DA4C75C" w14:textId="2708F111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9.9 to 9.12</w:t>
            </w:r>
          </w:p>
          <w:p w14:paraId="0580DFA7" w14:textId="71E2D03E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9.13 to 9.22 </w:t>
            </w:r>
          </w:p>
        </w:tc>
        <w:tc>
          <w:tcPr>
            <w:tcW w:w="1305" w:type="pct"/>
          </w:tcPr>
          <w:p w14:paraId="48C72005" w14:textId="6673A39E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C3 (a &amp; b)</w:t>
            </w:r>
          </w:p>
          <w:p w14:paraId="7CE6DB21" w14:textId="271EF491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C4 (a &amp; b)</w:t>
            </w:r>
          </w:p>
          <w:p w14:paraId="3C10CB3B" w14:textId="699916CB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C5 </w:t>
            </w:r>
          </w:p>
        </w:tc>
      </w:tr>
      <w:tr w:rsidR="00095690" w:rsidRPr="00683DEF" w14:paraId="49E5FE2D" w14:textId="77777777" w:rsidTr="00095690">
        <w:tc>
          <w:tcPr>
            <w:tcW w:w="2524" w:type="pct"/>
          </w:tcPr>
          <w:p w14:paraId="2DEE235F" w14:textId="355914C7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Staff remuneration / key staff</w:t>
            </w:r>
          </w:p>
        </w:tc>
        <w:tc>
          <w:tcPr>
            <w:tcW w:w="1171" w:type="pct"/>
          </w:tcPr>
          <w:p w14:paraId="7359A625" w14:textId="2F4A736D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9.26 to 9.30, 9.32</w:t>
            </w:r>
          </w:p>
        </w:tc>
        <w:tc>
          <w:tcPr>
            <w:tcW w:w="1305" w:type="pct"/>
          </w:tcPr>
          <w:p w14:paraId="5147C88F" w14:textId="77777777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95690" w:rsidRPr="00683DEF" w14:paraId="35517920" w14:textId="77777777" w:rsidTr="00095690">
        <w:tc>
          <w:tcPr>
            <w:tcW w:w="2524" w:type="pct"/>
          </w:tcPr>
          <w:p w14:paraId="1754D13A" w14:textId="77777777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Auditors and Examiners fees</w:t>
            </w:r>
          </w:p>
        </w:tc>
        <w:tc>
          <w:tcPr>
            <w:tcW w:w="1171" w:type="pct"/>
          </w:tcPr>
          <w:p w14:paraId="7FBAE179" w14:textId="77777777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9.23</w:t>
            </w:r>
          </w:p>
        </w:tc>
        <w:tc>
          <w:tcPr>
            <w:tcW w:w="1305" w:type="pct"/>
          </w:tcPr>
          <w:p w14:paraId="3F68DF76" w14:textId="7D4A4D48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</w:p>
        </w:tc>
      </w:tr>
      <w:tr w:rsidR="00095690" w:rsidRPr="00683DEF" w14:paraId="636866C6" w14:textId="77777777" w:rsidTr="00095690">
        <w:tc>
          <w:tcPr>
            <w:tcW w:w="2524" w:type="pct"/>
          </w:tcPr>
          <w:p w14:paraId="11A09080" w14:textId="77777777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Debtors &amp; Creditors</w:t>
            </w:r>
          </w:p>
        </w:tc>
        <w:tc>
          <w:tcPr>
            <w:tcW w:w="1171" w:type="pct"/>
          </w:tcPr>
          <w:p w14:paraId="062BABDA" w14:textId="6B45F881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10.68, 10.80, 10.83</w:t>
            </w:r>
          </w:p>
        </w:tc>
        <w:tc>
          <w:tcPr>
            <w:tcW w:w="1305" w:type="pct"/>
          </w:tcPr>
          <w:p w14:paraId="546C8CF5" w14:textId="77777777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95690" w:rsidRPr="00683DEF" w14:paraId="7F6C2D8C" w14:textId="77777777" w:rsidTr="00095690">
        <w:tc>
          <w:tcPr>
            <w:tcW w:w="2524" w:type="pct"/>
          </w:tcPr>
          <w:p w14:paraId="373B969E" w14:textId="77777777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Investments</w:t>
            </w:r>
            <w:r>
              <w:rPr>
                <w:rFonts w:cs="Arial"/>
                <w:szCs w:val="24"/>
              </w:rPr>
              <w:t xml:space="preserve"> analyse by class</w:t>
            </w:r>
          </w:p>
        </w:tc>
        <w:tc>
          <w:tcPr>
            <w:tcW w:w="1171" w:type="pct"/>
          </w:tcPr>
          <w:p w14:paraId="2722BB66" w14:textId="5B72446C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10.73, 10.54 </w:t>
            </w:r>
          </w:p>
        </w:tc>
        <w:tc>
          <w:tcPr>
            <w:tcW w:w="1305" w:type="pct"/>
          </w:tcPr>
          <w:p w14:paraId="7A7BEE26" w14:textId="77777777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95690" w:rsidRPr="00683DEF" w14:paraId="5B003F44" w14:textId="77777777" w:rsidTr="00095690">
        <w:tc>
          <w:tcPr>
            <w:tcW w:w="2524" w:type="pct"/>
          </w:tcPr>
          <w:p w14:paraId="741C5CE6" w14:textId="6D6BA25B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Contributions and grants</w:t>
            </w:r>
            <w:r>
              <w:rPr>
                <w:rFonts w:cs="Arial"/>
                <w:szCs w:val="24"/>
              </w:rPr>
              <w:t>: analyse Individual, BYM, other Q, non-Q</w:t>
            </w:r>
          </w:p>
        </w:tc>
        <w:tc>
          <w:tcPr>
            <w:tcW w:w="1171" w:type="pct"/>
          </w:tcPr>
          <w:p w14:paraId="468A0C7B" w14:textId="3CEA57E8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16.13, Table 12, 16.17</w:t>
            </w:r>
          </w:p>
        </w:tc>
        <w:tc>
          <w:tcPr>
            <w:tcW w:w="1305" w:type="pct"/>
          </w:tcPr>
          <w:p w14:paraId="390DA1AD" w14:textId="0306F982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C2</w:t>
            </w:r>
          </w:p>
        </w:tc>
      </w:tr>
      <w:tr w:rsidR="00095690" w14:paraId="40761E88" w14:textId="77777777" w:rsidTr="00095690">
        <w:tc>
          <w:tcPr>
            <w:tcW w:w="2524" w:type="pct"/>
          </w:tcPr>
          <w:p w14:paraId="3387F03E" w14:textId="77777777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Acting as agent</w:t>
            </w:r>
          </w:p>
          <w:p w14:paraId="01183A84" w14:textId="2285EDF5" w:rsidR="00095690" w:rsidRPr="00683DEF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BYM, other Q, non-Q</w:t>
            </w:r>
          </w:p>
        </w:tc>
        <w:tc>
          <w:tcPr>
            <w:tcW w:w="1171" w:type="pct"/>
          </w:tcPr>
          <w:p w14:paraId="505E7EF7" w14:textId="5A2E15D7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19.12</w:t>
            </w:r>
          </w:p>
        </w:tc>
        <w:tc>
          <w:tcPr>
            <w:tcW w:w="1305" w:type="pct"/>
          </w:tcPr>
          <w:p w14:paraId="54399781" w14:textId="0938CA7F" w:rsidR="00095690" w:rsidRDefault="00095690" w:rsidP="00095690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</w:tbl>
    <w:p w14:paraId="4D921D76" w14:textId="683B4849" w:rsidR="001D744A" w:rsidRDefault="001D744A">
      <w:pPr>
        <w:spacing w:after="0" w:line="240" w:lineRule="auto"/>
        <w:rPr>
          <w:rFonts w:cs="Arial"/>
          <w:b/>
          <w:szCs w:val="24"/>
        </w:rPr>
      </w:pPr>
    </w:p>
    <w:sectPr w:rsidR="001D744A" w:rsidSect="00075ECA">
      <w:headerReference w:type="default" r:id="rId23"/>
      <w:headerReference w:type="first" r:id="rId24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7CE0" w14:textId="77777777" w:rsidR="00C82203" w:rsidRDefault="00C82203" w:rsidP="00CF02E5">
      <w:pPr>
        <w:spacing w:after="0" w:line="240" w:lineRule="auto"/>
      </w:pPr>
      <w:r>
        <w:separator/>
      </w:r>
    </w:p>
  </w:endnote>
  <w:endnote w:type="continuationSeparator" w:id="0">
    <w:p w14:paraId="2EBBE71B" w14:textId="77777777" w:rsidR="00C82203" w:rsidRDefault="00C82203" w:rsidP="00CF02E5">
      <w:pPr>
        <w:spacing w:after="0" w:line="240" w:lineRule="auto"/>
      </w:pPr>
      <w:r>
        <w:continuationSeparator/>
      </w:r>
    </w:p>
  </w:endnote>
  <w:endnote w:type="continuationNotice" w:id="1">
    <w:p w14:paraId="34325ACF" w14:textId="77777777" w:rsidR="00C82203" w:rsidRDefault="00C8220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7557" w14:textId="77777777" w:rsidR="00C82203" w:rsidRDefault="00C82203" w:rsidP="00CF02E5">
      <w:pPr>
        <w:spacing w:after="0" w:line="240" w:lineRule="auto"/>
      </w:pPr>
      <w:r>
        <w:separator/>
      </w:r>
    </w:p>
  </w:footnote>
  <w:footnote w:type="continuationSeparator" w:id="0">
    <w:p w14:paraId="4C8DCC1A" w14:textId="77777777" w:rsidR="00C82203" w:rsidRDefault="00C82203" w:rsidP="00CF02E5">
      <w:pPr>
        <w:spacing w:after="0" w:line="240" w:lineRule="auto"/>
      </w:pPr>
      <w:r>
        <w:continuationSeparator/>
      </w:r>
    </w:p>
  </w:footnote>
  <w:footnote w:type="continuationNotice" w:id="1">
    <w:p w14:paraId="69C084FA" w14:textId="77777777" w:rsidR="00C82203" w:rsidRDefault="00C8220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2EA2" w14:textId="1BF9D5DB" w:rsidR="0060134D" w:rsidRPr="0060134D" w:rsidRDefault="00A22100" w:rsidP="00A22100">
    <w:pPr>
      <w:pStyle w:val="Header"/>
      <w:jc w:val="right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FINAL</w:t>
    </w:r>
    <w:r w:rsidR="001D744A" w:rsidRPr="001D744A">
      <w:rPr>
        <w:rFonts w:cs="Arial"/>
        <w:b/>
        <w:sz w:val="20"/>
        <w:szCs w:val="20"/>
      </w:rPr>
      <w:t xml:space="preserve"> </w:t>
    </w:r>
    <w:r w:rsidR="00EC0A7E">
      <w:rPr>
        <w:rFonts w:cs="Arial"/>
        <w:b/>
        <w:sz w:val="20"/>
        <w:szCs w:val="20"/>
      </w:rPr>
      <w:t xml:space="preserve">for use in </w:t>
    </w:r>
    <w:r w:rsidR="001D744A" w:rsidRPr="001D744A">
      <w:rPr>
        <w:rFonts w:cs="Arial"/>
        <w:b/>
        <w:sz w:val="20"/>
        <w:szCs w:val="20"/>
      </w:rPr>
      <w:t>202</w:t>
    </w:r>
    <w:r w:rsidR="000B6805">
      <w:rPr>
        <w:rFonts w:cs="Arial"/>
        <w:b/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01E4" w14:textId="0830D417" w:rsidR="00D92D22" w:rsidRDefault="00D92D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45208A" wp14:editId="6581B8D7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165860" cy="1173480"/>
          <wp:effectExtent l="0" t="0" r="0" b="7620"/>
          <wp:wrapTight wrapText="bothSides">
            <wp:wrapPolygon edited="0">
              <wp:start x="0" y="0"/>
              <wp:lineTo x="0" y="21390"/>
              <wp:lineTo x="21176" y="21390"/>
              <wp:lineTo x="21176" y="0"/>
              <wp:lineTo x="0" y="0"/>
            </wp:wrapPolygon>
          </wp:wrapTight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/>
                  <a:srcRect l="13517" t="13060" r="12596" b="12427"/>
                  <a:stretch/>
                </pic:blipFill>
                <pic:spPr bwMode="auto">
                  <a:xfrm>
                    <a:off x="0" y="0"/>
                    <a:ext cx="116586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512BB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23D6C"/>
    <w:multiLevelType w:val="hybridMultilevel"/>
    <w:tmpl w:val="0C06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2E18"/>
    <w:multiLevelType w:val="hybridMultilevel"/>
    <w:tmpl w:val="10A2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7978"/>
    <w:multiLevelType w:val="hybridMultilevel"/>
    <w:tmpl w:val="9B20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96AFF"/>
    <w:multiLevelType w:val="hybridMultilevel"/>
    <w:tmpl w:val="FC98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D665B"/>
    <w:multiLevelType w:val="hybridMultilevel"/>
    <w:tmpl w:val="4C6055C8"/>
    <w:lvl w:ilvl="0" w:tplc="3634DC2E"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96620"/>
    <w:multiLevelType w:val="hybridMultilevel"/>
    <w:tmpl w:val="3160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46999">
    <w:abstractNumId w:val="5"/>
  </w:num>
  <w:num w:numId="2" w16cid:durableId="786507145">
    <w:abstractNumId w:val="0"/>
  </w:num>
  <w:num w:numId="3" w16cid:durableId="1706061115">
    <w:abstractNumId w:val="1"/>
  </w:num>
  <w:num w:numId="4" w16cid:durableId="1867789004">
    <w:abstractNumId w:val="6"/>
  </w:num>
  <w:num w:numId="5" w16cid:durableId="312877136">
    <w:abstractNumId w:val="2"/>
  </w:num>
  <w:num w:numId="6" w16cid:durableId="1025595475">
    <w:abstractNumId w:val="3"/>
  </w:num>
  <w:num w:numId="7" w16cid:durableId="1327710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1B"/>
    <w:rsid w:val="00000E68"/>
    <w:rsid w:val="000208B7"/>
    <w:rsid w:val="000214A5"/>
    <w:rsid w:val="0002571E"/>
    <w:rsid w:val="00030ABD"/>
    <w:rsid w:val="00030B17"/>
    <w:rsid w:val="0004533D"/>
    <w:rsid w:val="00046CF7"/>
    <w:rsid w:val="00051E39"/>
    <w:rsid w:val="00074929"/>
    <w:rsid w:val="00075ECA"/>
    <w:rsid w:val="000769B5"/>
    <w:rsid w:val="00080526"/>
    <w:rsid w:val="0008231D"/>
    <w:rsid w:val="00082A84"/>
    <w:rsid w:val="00092BB6"/>
    <w:rsid w:val="00094509"/>
    <w:rsid w:val="00094926"/>
    <w:rsid w:val="00095690"/>
    <w:rsid w:val="000B6805"/>
    <w:rsid w:val="000C7071"/>
    <w:rsid w:val="000D5463"/>
    <w:rsid w:val="000E60CD"/>
    <w:rsid w:val="000E7682"/>
    <w:rsid w:val="000F51A6"/>
    <w:rsid w:val="00104B85"/>
    <w:rsid w:val="001120F7"/>
    <w:rsid w:val="00116FD5"/>
    <w:rsid w:val="0012568E"/>
    <w:rsid w:val="00131E36"/>
    <w:rsid w:val="00133704"/>
    <w:rsid w:val="00165586"/>
    <w:rsid w:val="0016569C"/>
    <w:rsid w:val="001660FC"/>
    <w:rsid w:val="00176E34"/>
    <w:rsid w:val="001846A6"/>
    <w:rsid w:val="00184C4D"/>
    <w:rsid w:val="00190860"/>
    <w:rsid w:val="00195B96"/>
    <w:rsid w:val="001A2A8E"/>
    <w:rsid w:val="001A6B26"/>
    <w:rsid w:val="001B0C16"/>
    <w:rsid w:val="001B723F"/>
    <w:rsid w:val="001C0B90"/>
    <w:rsid w:val="001D744A"/>
    <w:rsid w:val="0020134B"/>
    <w:rsid w:val="00204B9A"/>
    <w:rsid w:val="00205E3B"/>
    <w:rsid w:val="00210B90"/>
    <w:rsid w:val="00210E25"/>
    <w:rsid w:val="002141D6"/>
    <w:rsid w:val="00214B97"/>
    <w:rsid w:val="00216F56"/>
    <w:rsid w:val="002206D6"/>
    <w:rsid w:val="00233D00"/>
    <w:rsid w:val="002501CA"/>
    <w:rsid w:val="0025089A"/>
    <w:rsid w:val="00252449"/>
    <w:rsid w:val="002539AA"/>
    <w:rsid w:val="00253C41"/>
    <w:rsid w:val="00253E3B"/>
    <w:rsid w:val="00272161"/>
    <w:rsid w:val="002875E1"/>
    <w:rsid w:val="00292C16"/>
    <w:rsid w:val="00297C97"/>
    <w:rsid w:val="002A0CF6"/>
    <w:rsid w:val="002A1825"/>
    <w:rsid w:val="002A4CE6"/>
    <w:rsid w:val="002B0F5F"/>
    <w:rsid w:val="002B3125"/>
    <w:rsid w:val="002B4F73"/>
    <w:rsid w:val="002B7EA9"/>
    <w:rsid w:val="002C02AE"/>
    <w:rsid w:val="002C6EF6"/>
    <w:rsid w:val="002D2974"/>
    <w:rsid w:val="002D33F9"/>
    <w:rsid w:val="002E6785"/>
    <w:rsid w:val="002E68E3"/>
    <w:rsid w:val="002E7E7D"/>
    <w:rsid w:val="002F1BC3"/>
    <w:rsid w:val="002F26E0"/>
    <w:rsid w:val="002F42E0"/>
    <w:rsid w:val="00300DA1"/>
    <w:rsid w:val="00302775"/>
    <w:rsid w:val="003116A4"/>
    <w:rsid w:val="00316646"/>
    <w:rsid w:val="003267A9"/>
    <w:rsid w:val="00342FE5"/>
    <w:rsid w:val="003916F7"/>
    <w:rsid w:val="003A16A9"/>
    <w:rsid w:val="003A431E"/>
    <w:rsid w:val="003B0861"/>
    <w:rsid w:val="003B19F0"/>
    <w:rsid w:val="003B7B71"/>
    <w:rsid w:val="003C5C0F"/>
    <w:rsid w:val="003D12E4"/>
    <w:rsid w:val="003D51E0"/>
    <w:rsid w:val="003D69C8"/>
    <w:rsid w:val="003E358C"/>
    <w:rsid w:val="003E456D"/>
    <w:rsid w:val="003F7C3B"/>
    <w:rsid w:val="00400349"/>
    <w:rsid w:val="00401A8C"/>
    <w:rsid w:val="00402663"/>
    <w:rsid w:val="00405AEC"/>
    <w:rsid w:val="00406AEC"/>
    <w:rsid w:val="00425117"/>
    <w:rsid w:val="0042610F"/>
    <w:rsid w:val="00435E9C"/>
    <w:rsid w:val="004440BC"/>
    <w:rsid w:val="00445B01"/>
    <w:rsid w:val="004473EE"/>
    <w:rsid w:val="00456290"/>
    <w:rsid w:val="00457DCF"/>
    <w:rsid w:val="004628F7"/>
    <w:rsid w:val="00465D5E"/>
    <w:rsid w:val="00471104"/>
    <w:rsid w:val="004841E2"/>
    <w:rsid w:val="004E1F60"/>
    <w:rsid w:val="004E6E69"/>
    <w:rsid w:val="004F05B6"/>
    <w:rsid w:val="004F6222"/>
    <w:rsid w:val="004F6F67"/>
    <w:rsid w:val="005139FE"/>
    <w:rsid w:val="0051446C"/>
    <w:rsid w:val="005169AA"/>
    <w:rsid w:val="0052100B"/>
    <w:rsid w:val="00527BB3"/>
    <w:rsid w:val="00535760"/>
    <w:rsid w:val="00536566"/>
    <w:rsid w:val="005442C8"/>
    <w:rsid w:val="00545F1C"/>
    <w:rsid w:val="005468A2"/>
    <w:rsid w:val="00560346"/>
    <w:rsid w:val="00572371"/>
    <w:rsid w:val="005755E2"/>
    <w:rsid w:val="0058096D"/>
    <w:rsid w:val="00581436"/>
    <w:rsid w:val="00581EAB"/>
    <w:rsid w:val="00585A4B"/>
    <w:rsid w:val="005953E8"/>
    <w:rsid w:val="005B5CA5"/>
    <w:rsid w:val="005C58D6"/>
    <w:rsid w:val="005C6645"/>
    <w:rsid w:val="005D0A3D"/>
    <w:rsid w:val="005F37BE"/>
    <w:rsid w:val="0060134D"/>
    <w:rsid w:val="00606A7B"/>
    <w:rsid w:val="006126E5"/>
    <w:rsid w:val="00613A6B"/>
    <w:rsid w:val="00613C61"/>
    <w:rsid w:val="006140EC"/>
    <w:rsid w:val="00616B78"/>
    <w:rsid w:val="00617FDC"/>
    <w:rsid w:val="006227DF"/>
    <w:rsid w:val="00626426"/>
    <w:rsid w:val="00627090"/>
    <w:rsid w:val="0063373A"/>
    <w:rsid w:val="00633F2E"/>
    <w:rsid w:val="006343A2"/>
    <w:rsid w:val="00642EF1"/>
    <w:rsid w:val="00650F46"/>
    <w:rsid w:val="006513F4"/>
    <w:rsid w:val="00657D12"/>
    <w:rsid w:val="006608FD"/>
    <w:rsid w:val="006621EE"/>
    <w:rsid w:val="006637D0"/>
    <w:rsid w:val="00672F2B"/>
    <w:rsid w:val="00681077"/>
    <w:rsid w:val="00683A71"/>
    <w:rsid w:val="00684AEB"/>
    <w:rsid w:val="00692114"/>
    <w:rsid w:val="0069269F"/>
    <w:rsid w:val="00692EDF"/>
    <w:rsid w:val="006A02BD"/>
    <w:rsid w:val="006A3C17"/>
    <w:rsid w:val="006B2DCF"/>
    <w:rsid w:val="006E1873"/>
    <w:rsid w:val="006F492C"/>
    <w:rsid w:val="006F6AD7"/>
    <w:rsid w:val="006F6E74"/>
    <w:rsid w:val="00702B6E"/>
    <w:rsid w:val="00703CCF"/>
    <w:rsid w:val="00717E21"/>
    <w:rsid w:val="00721B1B"/>
    <w:rsid w:val="00724923"/>
    <w:rsid w:val="00727548"/>
    <w:rsid w:val="00727F0E"/>
    <w:rsid w:val="007406D0"/>
    <w:rsid w:val="007575CE"/>
    <w:rsid w:val="00757693"/>
    <w:rsid w:val="0076749E"/>
    <w:rsid w:val="007703EA"/>
    <w:rsid w:val="007745EB"/>
    <w:rsid w:val="00785C13"/>
    <w:rsid w:val="00792021"/>
    <w:rsid w:val="00794413"/>
    <w:rsid w:val="007B36B7"/>
    <w:rsid w:val="007C7C28"/>
    <w:rsid w:val="007C7CCC"/>
    <w:rsid w:val="007D088D"/>
    <w:rsid w:val="007E36B8"/>
    <w:rsid w:val="007F2668"/>
    <w:rsid w:val="007F346D"/>
    <w:rsid w:val="007F3C09"/>
    <w:rsid w:val="007F4011"/>
    <w:rsid w:val="007F7249"/>
    <w:rsid w:val="007F74BB"/>
    <w:rsid w:val="00802430"/>
    <w:rsid w:val="00825CDA"/>
    <w:rsid w:val="008401C0"/>
    <w:rsid w:val="0084515B"/>
    <w:rsid w:val="008541F5"/>
    <w:rsid w:val="00871237"/>
    <w:rsid w:val="00875349"/>
    <w:rsid w:val="00892B62"/>
    <w:rsid w:val="008951DD"/>
    <w:rsid w:val="00897C9B"/>
    <w:rsid w:val="00897FB9"/>
    <w:rsid w:val="008B65B3"/>
    <w:rsid w:val="008C0E53"/>
    <w:rsid w:val="008C25CF"/>
    <w:rsid w:val="008D4C88"/>
    <w:rsid w:val="008E7F6E"/>
    <w:rsid w:val="008F35D6"/>
    <w:rsid w:val="008F618E"/>
    <w:rsid w:val="009076D8"/>
    <w:rsid w:val="00912A76"/>
    <w:rsid w:val="00914527"/>
    <w:rsid w:val="009152B5"/>
    <w:rsid w:val="00917363"/>
    <w:rsid w:val="00922465"/>
    <w:rsid w:val="00923BBB"/>
    <w:rsid w:val="00924FDA"/>
    <w:rsid w:val="009309B5"/>
    <w:rsid w:val="0093339C"/>
    <w:rsid w:val="00935949"/>
    <w:rsid w:val="00937880"/>
    <w:rsid w:val="009411FE"/>
    <w:rsid w:val="0094137E"/>
    <w:rsid w:val="00941E17"/>
    <w:rsid w:val="00945149"/>
    <w:rsid w:val="0095139E"/>
    <w:rsid w:val="00955A30"/>
    <w:rsid w:val="0096450B"/>
    <w:rsid w:val="00973791"/>
    <w:rsid w:val="00984E99"/>
    <w:rsid w:val="00991492"/>
    <w:rsid w:val="00996F24"/>
    <w:rsid w:val="009A2914"/>
    <w:rsid w:val="009B0B45"/>
    <w:rsid w:val="009B6DBD"/>
    <w:rsid w:val="009C07DE"/>
    <w:rsid w:val="009C2041"/>
    <w:rsid w:val="009C3ABD"/>
    <w:rsid w:val="009C3CB9"/>
    <w:rsid w:val="009C5B09"/>
    <w:rsid w:val="009D1CF3"/>
    <w:rsid w:val="009D204E"/>
    <w:rsid w:val="009D38B6"/>
    <w:rsid w:val="009F07B1"/>
    <w:rsid w:val="00A00783"/>
    <w:rsid w:val="00A0315C"/>
    <w:rsid w:val="00A14216"/>
    <w:rsid w:val="00A179A9"/>
    <w:rsid w:val="00A22100"/>
    <w:rsid w:val="00A2340C"/>
    <w:rsid w:val="00A23933"/>
    <w:rsid w:val="00A31172"/>
    <w:rsid w:val="00A400D4"/>
    <w:rsid w:val="00A43ECF"/>
    <w:rsid w:val="00A47B25"/>
    <w:rsid w:val="00A55BB0"/>
    <w:rsid w:val="00A61081"/>
    <w:rsid w:val="00A64A8A"/>
    <w:rsid w:val="00A72BE9"/>
    <w:rsid w:val="00A85FA6"/>
    <w:rsid w:val="00A93A0D"/>
    <w:rsid w:val="00AA3657"/>
    <w:rsid w:val="00AA7020"/>
    <w:rsid w:val="00AC08BF"/>
    <w:rsid w:val="00AC238F"/>
    <w:rsid w:val="00AC6992"/>
    <w:rsid w:val="00AC6C1E"/>
    <w:rsid w:val="00AC7605"/>
    <w:rsid w:val="00AD0BB1"/>
    <w:rsid w:val="00AD7805"/>
    <w:rsid w:val="00AE1525"/>
    <w:rsid w:val="00AE22F1"/>
    <w:rsid w:val="00AE7337"/>
    <w:rsid w:val="00AF4385"/>
    <w:rsid w:val="00B166F2"/>
    <w:rsid w:val="00B16A86"/>
    <w:rsid w:val="00B21802"/>
    <w:rsid w:val="00B30026"/>
    <w:rsid w:val="00B332E7"/>
    <w:rsid w:val="00B363AD"/>
    <w:rsid w:val="00B53932"/>
    <w:rsid w:val="00B55273"/>
    <w:rsid w:val="00B61243"/>
    <w:rsid w:val="00B63C01"/>
    <w:rsid w:val="00B6616E"/>
    <w:rsid w:val="00B70ED1"/>
    <w:rsid w:val="00B74727"/>
    <w:rsid w:val="00B7718A"/>
    <w:rsid w:val="00BA3004"/>
    <w:rsid w:val="00BA39DA"/>
    <w:rsid w:val="00BA4B81"/>
    <w:rsid w:val="00BA6221"/>
    <w:rsid w:val="00BA72BE"/>
    <w:rsid w:val="00BA7E7E"/>
    <w:rsid w:val="00BB1C89"/>
    <w:rsid w:val="00BB2D31"/>
    <w:rsid w:val="00BB2E06"/>
    <w:rsid w:val="00BB5A68"/>
    <w:rsid w:val="00BC08AD"/>
    <w:rsid w:val="00BD502E"/>
    <w:rsid w:val="00C06674"/>
    <w:rsid w:val="00C14609"/>
    <w:rsid w:val="00C212BC"/>
    <w:rsid w:val="00C57007"/>
    <w:rsid w:val="00C57099"/>
    <w:rsid w:val="00C63D06"/>
    <w:rsid w:val="00C64ECA"/>
    <w:rsid w:val="00C708F4"/>
    <w:rsid w:val="00C76EE9"/>
    <w:rsid w:val="00C82203"/>
    <w:rsid w:val="00C86E4B"/>
    <w:rsid w:val="00C90799"/>
    <w:rsid w:val="00C949DD"/>
    <w:rsid w:val="00CA7069"/>
    <w:rsid w:val="00CC61BA"/>
    <w:rsid w:val="00CC6C1D"/>
    <w:rsid w:val="00CC7992"/>
    <w:rsid w:val="00CE1637"/>
    <w:rsid w:val="00CE501A"/>
    <w:rsid w:val="00CE7091"/>
    <w:rsid w:val="00CF02E5"/>
    <w:rsid w:val="00CF6053"/>
    <w:rsid w:val="00D04A0A"/>
    <w:rsid w:val="00D10E8E"/>
    <w:rsid w:val="00D12CD7"/>
    <w:rsid w:val="00D139B9"/>
    <w:rsid w:val="00D15AA6"/>
    <w:rsid w:val="00D203CF"/>
    <w:rsid w:val="00D2076A"/>
    <w:rsid w:val="00D23D39"/>
    <w:rsid w:val="00D2591B"/>
    <w:rsid w:val="00D27E20"/>
    <w:rsid w:val="00D35AB1"/>
    <w:rsid w:val="00D37917"/>
    <w:rsid w:val="00D43600"/>
    <w:rsid w:val="00D5096A"/>
    <w:rsid w:val="00D50BC7"/>
    <w:rsid w:val="00D52A33"/>
    <w:rsid w:val="00D55567"/>
    <w:rsid w:val="00D6669C"/>
    <w:rsid w:val="00D716C5"/>
    <w:rsid w:val="00D71783"/>
    <w:rsid w:val="00D71BB2"/>
    <w:rsid w:val="00D72C74"/>
    <w:rsid w:val="00D757CF"/>
    <w:rsid w:val="00D76216"/>
    <w:rsid w:val="00D82D61"/>
    <w:rsid w:val="00D9277D"/>
    <w:rsid w:val="00D92D22"/>
    <w:rsid w:val="00DB6613"/>
    <w:rsid w:val="00DC0515"/>
    <w:rsid w:val="00DC3998"/>
    <w:rsid w:val="00DC563C"/>
    <w:rsid w:val="00DC5A5E"/>
    <w:rsid w:val="00DE76F7"/>
    <w:rsid w:val="00DF6367"/>
    <w:rsid w:val="00DF7699"/>
    <w:rsid w:val="00DF76F4"/>
    <w:rsid w:val="00E05ECB"/>
    <w:rsid w:val="00E06BA4"/>
    <w:rsid w:val="00E13702"/>
    <w:rsid w:val="00E24821"/>
    <w:rsid w:val="00E2679B"/>
    <w:rsid w:val="00E30DE1"/>
    <w:rsid w:val="00E341E2"/>
    <w:rsid w:val="00E4089B"/>
    <w:rsid w:val="00E64963"/>
    <w:rsid w:val="00E72B23"/>
    <w:rsid w:val="00E72BBF"/>
    <w:rsid w:val="00E75C76"/>
    <w:rsid w:val="00E849D3"/>
    <w:rsid w:val="00E870E2"/>
    <w:rsid w:val="00E9205B"/>
    <w:rsid w:val="00E97C3F"/>
    <w:rsid w:val="00EA0BCC"/>
    <w:rsid w:val="00EB0BD1"/>
    <w:rsid w:val="00EB12A3"/>
    <w:rsid w:val="00EB4042"/>
    <w:rsid w:val="00EB44F2"/>
    <w:rsid w:val="00EC0A7E"/>
    <w:rsid w:val="00EC3499"/>
    <w:rsid w:val="00EC6E7E"/>
    <w:rsid w:val="00EC7F9B"/>
    <w:rsid w:val="00ED27E3"/>
    <w:rsid w:val="00EE47C2"/>
    <w:rsid w:val="00EE77FD"/>
    <w:rsid w:val="00EF016E"/>
    <w:rsid w:val="00EF2645"/>
    <w:rsid w:val="00EF6D74"/>
    <w:rsid w:val="00F06A7D"/>
    <w:rsid w:val="00F12FFD"/>
    <w:rsid w:val="00F209E1"/>
    <w:rsid w:val="00F21F4C"/>
    <w:rsid w:val="00F234D7"/>
    <w:rsid w:val="00F3685B"/>
    <w:rsid w:val="00F40E34"/>
    <w:rsid w:val="00F43441"/>
    <w:rsid w:val="00F44CA1"/>
    <w:rsid w:val="00F5169F"/>
    <w:rsid w:val="00F54D31"/>
    <w:rsid w:val="00F55260"/>
    <w:rsid w:val="00F56506"/>
    <w:rsid w:val="00F57FE2"/>
    <w:rsid w:val="00F650D3"/>
    <w:rsid w:val="00F66BF0"/>
    <w:rsid w:val="00F72050"/>
    <w:rsid w:val="00F76C45"/>
    <w:rsid w:val="00F872C8"/>
    <w:rsid w:val="00F96B39"/>
    <w:rsid w:val="00F96E72"/>
    <w:rsid w:val="00FA2674"/>
    <w:rsid w:val="00FA7805"/>
    <w:rsid w:val="00FB21DC"/>
    <w:rsid w:val="00FB678E"/>
    <w:rsid w:val="00FC1A78"/>
    <w:rsid w:val="00FC3C46"/>
    <w:rsid w:val="00FD2F62"/>
    <w:rsid w:val="00FD58BA"/>
    <w:rsid w:val="00FE0D59"/>
    <w:rsid w:val="00FE1FE4"/>
    <w:rsid w:val="00FE2BAD"/>
    <w:rsid w:val="00FE2C7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11475"/>
  <w15:docId w15:val="{F700A2D5-50B2-D24B-9A1E-B637C128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1E"/>
    <w:pPr>
      <w:spacing w:before="60" w:after="200" w:line="259" w:lineRule="auto"/>
    </w:pPr>
    <w:rPr>
      <w:rFonts w:ascii="Roboto" w:hAnsi="Roboto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3E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3E8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3E8"/>
    <w:pPr>
      <w:keepNext/>
      <w:keepLines/>
      <w:spacing w:before="120" w:after="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53E8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08DB"/>
    <w:rPr>
      <w:color w:val="0563C1"/>
      <w:u w:val="single"/>
    </w:rPr>
  </w:style>
  <w:style w:type="paragraph" w:customStyle="1" w:styleId="Default">
    <w:name w:val="Default"/>
    <w:rsid w:val="0089089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785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semiHidden/>
    <w:unhideWhenUsed/>
    <w:rsid w:val="0007492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02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F02E5"/>
    <w:rPr>
      <w:sz w:val="22"/>
      <w:szCs w:val="22"/>
    </w:rPr>
  </w:style>
  <w:style w:type="paragraph" w:styleId="Revision">
    <w:name w:val="Revision"/>
    <w:hidden/>
    <w:uiPriority w:val="71"/>
    <w:semiHidden/>
    <w:rsid w:val="00A23933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F016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953E8"/>
    <w:rPr>
      <w:rFonts w:ascii="Arial" w:eastAsiaTheme="majorEastAsia" w:hAnsi="Arial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953E8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3E8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53E8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53E8"/>
    <w:rPr>
      <w:rFonts w:ascii="Arial" w:eastAsiaTheme="majorEastAsia" w:hAnsi="Arial" w:cstheme="majorBidi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53E8"/>
    <w:rPr>
      <w:rFonts w:ascii="Arial" w:eastAsiaTheme="majorEastAsia" w:hAnsi="Arial" w:cstheme="majorBidi"/>
      <w:i/>
      <w:iCs/>
      <w:sz w:val="24"/>
      <w:szCs w:val="22"/>
    </w:rPr>
  </w:style>
  <w:style w:type="paragraph" w:styleId="ListParagraph">
    <w:name w:val="List Paragraph"/>
    <w:basedOn w:val="Normal"/>
    <w:uiPriority w:val="72"/>
    <w:rsid w:val="009D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quaker.org.uk/trustees" TargetMode="External"/><Relationship Id="rId18" Type="http://schemas.openxmlformats.org/officeDocument/2006/relationships/hyperlink" Target="http://www.oscr.org.uk/guidance-and-forms/trustees-annual-reports-guidance-and-good-practice/what-a-trustees-annual-report-needs-to-includ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quaker.org.uk/am-governance-annual-retur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cochurch.arocha.org.uk/" TargetMode="External"/><Relationship Id="rId17" Type="http://schemas.openxmlformats.org/officeDocument/2006/relationships/hyperlink" Target="http://www.charitysorp.org/download-a-full-sorp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uaker.org.uk/trustees" TargetMode="External"/><Relationship Id="rId20" Type="http://schemas.openxmlformats.org/officeDocument/2006/relationships/hyperlink" Target="http://www.oscr.org.uk/guidance-and-forms/independent-examination-a-guide-for-independent-examiners/section-9-example-independent-examiner-s-report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scr.org.uk/guidance-and-forms/a-guide-to-charity-accounts/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acat.uk.com/handbook/" TargetMode="External"/><Relationship Id="rId23" Type="http://schemas.openxmlformats.org/officeDocument/2006/relationships/header" Target="header1.xml"/><Relationship Id="rId10" Type="http://schemas.openxmlformats.org/officeDocument/2006/relationships/hyperlink" Target="mailto:supportmeetings@quaker.org.uk" TargetMode="External"/><Relationship Id="rId19" Type="http://schemas.openxmlformats.org/officeDocument/2006/relationships/hyperlink" Target="https://www.oscr.org.uk/managing-a-charity/charity-accounting/receipts-and-payments-accounts-work-pac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pportmeetings@quaker.org.uk" TargetMode="External"/><Relationship Id="rId22" Type="http://schemas.openxmlformats.org/officeDocument/2006/relationships/hyperlink" Target="http://www.charitysorp.org/documents/d/guest/charities-sorp-2026-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EBB2F60D4BC4FB03C7E1961C036CD" ma:contentTypeVersion="16" ma:contentTypeDescription="Create a new document." ma:contentTypeScope="" ma:versionID="211eec4eaf98719bd3e45464b7418b42">
  <xsd:schema xmlns:xsd="http://www.w3.org/2001/XMLSchema" xmlns:xs="http://www.w3.org/2001/XMLSchema" xmlns:p="http://schemas.microsoft.com/office/2006/metadata/properties" xmlns:ns2="ec340b3c-934f-40d9-befe-b28513ceaef8" xmlns:ns3="52c93cef-00f9-46d8-85d6-028374122481" targetNamespace="http://schemas.microsoft.com/office/2006/metadata/properties" ma:root="true" ma:fieldsID="14fb26c5f252e1a0e05880594c993251" ns2:_="" ns3:_="">
    <xsd:import namespace="ec340b3c-934f-40d9-befe-b28513ceaef8"/>
    <xsd:import namespace="52c93cef-00f9-46d8-85d6-02837412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0b3c-934f-40d9-befe-b28513cea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cef-00f9-46d8-85d6-0283741224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2dfda-56e8-4910-acb7-d98d8ba40401}" ma:internalName="TaxCatchAll" ma:showField="CatchAllData" ma:web="52c93cef-00f9-46d8-85d6-02837412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0b3c-934f-40d9-befe-b28513ceaef8">
      <Terms xmlns="http://schemas.microsoft.com/office/infopath/2007/PartnerControls"/>
    </lcf76f155ced4ddcb4097134ff3c332f>
    <TaxCatchAll xmlns="52c93cef-00f9-46d8-85d6-028374122481" xsi:nil="true"/>
  </documentManagement>
</p:properties>
</file>

<file path=customXml/itemProps1.xml><?xml version="1.0" encoding="utf-8"?>
<ds:datastoreItem xmlns:ds="http://schemas.openxmlformats.org/officeDocument/2006/customXml" ds:itemID="{CF0A00CA-160F-4BA8-9C8C-9F7E3D65E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F4434-E0BA-49DC-9193-756B4FE69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0b3c-934f-40d9-befe-b28513ceaef8"/>
    <ds:schemaRef ds:uri="52c93cef-00f9-46d8-85d6-02837412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9ABBF-93B5-4784-A117-9D240EBB139F}">
  <ds:schemaRefs>
    <ds:schemaRef ds:uri="http://schemas.microsoft.com/office/2006/metadata/properties"/>
    <ds:schemaRef ds:uri="http://schemas.microsoft.com/office/infopath/2007/PartnerControls"/>
    <ds:schemaRef ds:uri="ec340b3c-934f-40d9-befe-b28513ceaef8"/>
    <ds:schemaRef ds:uri="52c93cef-00f9-46d8-85d6-028374122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1071</Words>
  <Characters>6346</Characters>
  <Application>Microsoft Office Word</Application>
  <DocSecurity>0</DocSecurity>
  <Lines>302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Links>
    <vt:vector size="36" baseType="variant">
      <vt:variant>
        <vt:i4>5963847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https://www.gov.uk/government/uploads/system/uploads/attachment_data/file/512665/cc31_lowink.pdf</vt:lpwstr>
      </vt:variant>
      <vt:variant>
        <vt:lpwstr/>
      </vt:variant>
      <vt:variant>
        <vt:i4>2883705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https://www.gov.uk/government/collections/receipts-and-payments-accounts-pack-cc16</vt:lpwstr>
      </vt:variant>
      <vt:variant>
        <vt:lpwstr/>
      </vt:variant>
      <vt:variant>
        <vt:i4>2883655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https://www.gov.uk/government/publications/charity-reporting-and-accounting-the-essentials-march-2015-cc15c</vt:lpwstr>
      </vt:variant>
      <vt:variant>
        <vt:lpwstr/>
      </vt:variant>
      <vt:variant>
        <vt:i4>8060973</vt:i4>
      </vt:variant>
      <vt:variant>
        <vt:i4>6</vt:i4>
      </vt:variant>
      <vt:variant>
        <vt:i4>0</vt:i4>
      </vt:variant>
      <vt:variant>
        <vt:i4>5</vt:i4>
      </vt:variant>
      <vt:variant>
        <vt:lpwstr>http://www.charitysorp.org/media/619101/frs102_complete.pdf</vt:lpwstr>
      </vt:variant>
      <vt:variant>
        <vt:lpwstr/>
      </vt:variant>
      <vt:variant>
        <vt:i4>5832769</vt:i4>
      </vt:variant>
      <vt:variant>
        <vt:i4>3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  <vt:variant>
        <vt:i4>5832769</vt:i4>
      </vt:variant>
      <vt:variant>
        <vt:i4>0</vt:i4>
      </vt:variant>
      <vt:variant>
        <vt:i4>0</vt:i4>
      </vt:variant>
      <vt:variant>
        <vt:i4>5</vt:i4>
      </vt:variant>
      <vt:variant>
        <vt:lpwstr>mailto:heleng@quaker.org.uk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Oliver Waterhouse</cp:lastModifiedBy>
  <cp:revision>23</cp:revision>
  <cp:lastPrinted>2019-12-13T11:19:00Z</cp:lastPrinted>
  <dcterms:created xsi:type="dcterms:W3CDTF">2026-02-25T16:04:00Z</dcterms:created>
  <dcterms:modified xsi:type="dcterms:W3CDTF">2026-03-19T11:00:00Z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0x010100862EBB2F60D4BC4FB03C7E1961C036CD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